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E7" w:rsidRPr="007D338C" w:rsidRDefault="00C8757C" w:rsidP="007D338C">
      <w:pPr>
        <w:pStyle w:val="Heading1"/>
        <w:spacing w:after="0"/>
        <w:rPr>
          <w:color w:val="B01EE6"/>
        </w:rPr>
        <w:sectPr w:rsidR="00EB78E7" w:rsidRPr="007D338C" w:rsidSect="00EB78E7">
          <w:headerReference w:type="default" r:id="rId9"/>
          <w:footerReference w:type="default" r:id="rId10"/>
          <w:headerReference w:type="first" r:id="rId11"/>
          <w:footerReference w:type="first" r:id="rId12"/>
          <w:type w:val="continuous"/>
          <w:pgSz w:w="16838" w:h="11906" w:orient="landscape" w:code="9"/>
          <w:pgMar w:top="1440" w:right="1440" w:bottom="1440" w:left="1440" w:header="709" w:footer="709" w:gutter="0"/>
          <w:cols w:space="708"/>
          <w:titlePg/>
          <w:docGrid w:linePitch="360"/>
        </w:sectPr>
      </w:pPr>
      <w:r>
        <w:rPr>
          <w:noProof/>
          <w:color w:val="B01EE6"/>
          <w:lang w:eastAsia="zh-CN"/>
        </w:rPr>
        <mc:AlternateContent>
          <mc:Choice Requires="wps">
            <w:drawing>
              <wp:anchor distT="0" distB="0" distL="114300" distR="114300" simplePos="0" relativeHeight="251657728" behindDoc="0" locked="0" layoutInCell="1" allowOverlap="1" wp14:anchorId="532BA422" wp14:editId="4C448691">
                <wp:simplePos x="0" y="0"/>
                <wp:positionH relativeFrom="column">
                  <wp:posOffset>-685800</wp:posOffset>
                </wp:positionH>
                <wp:positionV relativeFrom="paragraph">
                  <wp:posOffset>-67945</wp:posOffset>
                </wp:positionV>
                <wp:extent cx="2857500" cy="124460"/>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9A0" w:rsidRDefault="00423F82" w:rsidP="00EB78E7">
                            <w:pPr>
                              <w:rPr>
                                <w:sz w:val="16"/>
                              </w:rPr>
                            </w:pPr>
                            <w:r>
                              <w:rPr>
                                <w:sz w:val="16"/>
                              </w:rPr>
                              <w:t xml:space="preserve">June </w:t>
                            </w:r>
                            <w:r w:rsidR="005B5D6C">
                              <w:rPr>
                                <w:sz w:val="16"/>
                              </w:rPr>
                              <w:t>2017</w:t>
                            </w:r>
                            <w:r w:rsidR="009109A0">
                              <w:rPr>
                                <w:sz w:val="16"/>
                              </w:rPr>
                              <w:t xml:space="preserve"> • </w:t>
                            </w:r>
                            <w:r w:rsidR="008F206B">
                              <w:rPr>
                                <w:sz w:val="16"/>
                              </w:rPr>
                              <w:t>Standards of 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35pt;width:225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8F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" filled="f" stroked="f">
                <v:textbox inset="0,0,0,0">
                  <w:txbxContent>
                    <w:p w:rsidR="009109A0" w:rsidRDefault="00423F82" w:rsidP="00EB78E7">
                      <w:pPr>
                        <w:rPr>
                          <w:sz w:val="16"/>
                        </w:rPr>
                      </w:pPr>
                      <w:r>
                        <w:rPr>
                          <w:sz w:val="16"/>
                        </w:rPr>
                        <w:t xml:space="preserve">June </w:t>
                      </w:r>
                      <w:r w:rsidR="005B5D6C">
                        <w:rPr>
                          <w:sz w:val="16"/>
                        </w:rPr>
                        <w:t>2017</w:t>
                      </w:r>
                      <w:r w:rsidR="009109A0">
                        <w:rPr>
                          <w:sz w:val="16"/>
                        </w:rPr>
                        <w:t xml:space="preserve"> • </w:t>
                      </w:r>
                      <w:r w:rsidR="008F206B">
                        <w:rPr>
                          <w:sz w:val="16"/>
                        </w:rPr>
                        <w:t>Standards of Evidence</w:t>
                      </w:r>
                    </w:p>
                  </w:txbxContent>
                </v:textbox>
              </v:shape>
            </w:pict>
          </mc:Fallback>
        </mc:AlternateContent>
      </w:r>
      <w:r>
        <w:rPr>
          <w:noProof/>
          <w:lang w:eastAsia="zh-CN"/>
        </w:rPr>
        <mc:AlternateContent>
          <mc:Choice Requires="wps">
            <w:drawing>
              <wp:anchor distT="0" distB="0" distL="114300" distR="114300" simplePos="0" relativeHeight="251766272" behindDoc="0" locked="0" layoutInCell="1" allowOverlap="1" wp14:anchorId="43FA7B74" wp14:editId="7B5EF9F6">
                <wp:simplePos x="0" y="0"/>
                <wp:positionH relativeFrom="column">
                  <wp:posOffset>6126480</wp:posOffset>
                </wp:positionH>
                <wp:positionV relativeFrom="paragraph">
                  <wp:posOffset>306705</wp:posOffset>
                </wp:positionV>
                <wp:extent cx="2573655" cy="4928235"/>
                <wp:effectExtent l="11430" t="11430" r="13335" b="1206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4928235"/>
                        </a:xfrm>
                        <a:prstGeom prst="rect">
                          <a:avLst/>
                        </a:prstGeom>
                        <a:solidFill>
                          <a:srgbClr val="FFFFFF"/>
                        </a:solidFill>
                        <a:ln w="9525">
                          <a:solidFill>
                            <a:schemeClr val="bg1">
                              <a:lumMod val="100000"/>
                              <a:lumOff val="0"/>
                            </a:schemeClr>
                          </a:solidFill>
                          <a:miter lim="800000"/>
                          <a:headEnd/>
                          <a:tailEnd/>
                        </a:ln>
                      </wps:spPr>
                      <wps:txbx>
                        <w:txbxContent>
                          <w:p w:rsidR="007D338C" w:rsidRDefault="00C8757C" w:rsidP="00A25F5C">
                            <w:pPr>
                              <w:ind w:left="-142"/>
                            </w:pPr>
                            <w:r>
                              <w:rPr>
                                <w:noProof/>
                                <w:lang w:eastAsia="zh-CN"/>
                              </w:rPr>
                              <w:drawing>
                                <wp:inline distT="0" distB="0" distL="0" distR="0" wp14:anchorId="662083C8" wp14:editId="086C8286">
                                  <wp:extent cx="2303579" cy="4674742"/>
                                  <wp:effectExtent l="0" t="0" r="1905" b="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1861" cy="471184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482.4pt;margin-top:24.15pt;width:202.65pt;height:388.05pt;z-index:25176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" strokecolor="white [3212]">
                <v:textbox style="mso-fit-shape-to-text:t">
                  <w:txbxContent>
                    <w:p w:rsidR="007D338C" w:rsidRDefault="00C8757C" w:rsidP="00A25F5C">
                      <w:pPr>
                        <w:ind w:left="-142"/>
                      </w:pPr>
                      <w:bookmarkStart w:id="1" w:name="_GoBack"/>
                      <w:r>
                        <w:rPr>
                          <w:noProof/>
                          <w:lang w:eastAsia="zh-CN"/>
                        </w:rPr>
                        <w:drawing>
                          <wp:inline distT="0" distB="0" distL="0" distR="0" wp14:anchorId="662083C8" wp14:editId="086C8286">
                            <wp:extent cx="2303579" cy="4674742"/>
                            <wp:effectExtent l="0" t="0" r="1905" b="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1861" cy="4711843"/>
                                    </a:xfrm>
                                    <a:prstGeom prst="rect">
                                      <a:avLst/>
                                    </a:prstGeom>
                                    <a:noFill/>
                                    <a:ln>
                                      <a:noFill/>
                                    </a:ln>
                                  </pic:spPr>
                                </pic:pic>
                              </a:graphicData>
                            </a:graphic>
                          </wp:inline>
                        </w:drawing>
                      </w:r>
                      <w:bookmarkEnd w:id="1"/>
                    </w:p>
                  </w:txbxContent>
                </v:textbox>
              </v:shape>
            </w:pict>
          </mc:Fallback>
        </mc:AlternateContent>
      </w:r>
    </w:p>
    <w:p w:rsidR="00EB78E7" w:rsidRPr="00661741" w:rsidRDefault="00EB78E7" w:rsidP="004C62BD">
      <w:pPr>
        <w:pStyle w:val="Heading1"/>
        <w:spacing w:after="0"/>
        <w:ind w:left="-142"/>
        <w:rPr>
          <w:color w:val="B01EE6"/>
          <w:sz w:val="40"/>
          <w:szCs w:val="40"/>
        </w:rPr>
      </w:pPr>
      <w:r w:rsidRPr="00661741">
        <w:rPr>
          <w:b/>
          <w:color w:val="B01EE6"/>
          <w:sz w:val="40"/>
          <w:szCs w:val="40"/>
        </w:rPr>
        <w:lastRenderedPageBreak/>
        <w:t>Understanding the scalability dimension</w:t>
      </w:r>
    </w:p>
    <w:p w:rsidR="004C62BD" w:rsidRDefault="00EB78E7" w:rsidP="004C62BD">
      <w:pPr>
        <w:spacing w:after="120" w:line="300" w:lineRule="exact"/>
        <w:ind w:left="-142"/>
        <w:rPr>
          <w:sz w:val="21"/>
          <w:szCs w:val="21"/>
        </w:rPr>
      </w:pPr>
      <w:r w:rsidRPr="004C62BD">
        <w:rPr>
          <w:sz w:val="21"/>
          <w:szCs w:val="21"/>
        </w:rPr>
        <w:t xml:space="preserve">The scalability dimension </w:t>
      </w:r>
      <w:r w:rsidR="000D4CCE">
        <w:rPr>
          <w:sz w:val="21"/>
          <w:szCs w:val="21"/>
        </w:rPr>
        <w:t>of the Standards of Evidence</w:t>
      </w:r>
      <w:r w:rsidR="000D4CCE" w:rsidRPr="004C62BD">
        <w:rPr>
          <w:sz w:val="21"/>
          <w:szCs w:val="21"/>
        </w:rPr>
        <w:t xml:space="preserve"> </w:t>
      </w:r>
      <w:r w:rsidR="00DB79E4" w:rsidRPr="004C62BD">
        <w:rPr>
          <w:sz w:val="21"/>
          <w:szCs w:val="21"/>
        </w:rPr>
        <w:t>provides</w:t>
      </w:r>
      <w:r w:rsidR="00C96B47">
        <w:rPr>
          <w:sz w:val="21"/>
          <w:szCs w:val="21"/>
        </w:rPr>
        <w:t xml:space="preserve"> information about the extent an initiative </w:t>
      </w:r>
      <w:r w:rsidR="009A34E2">
        <w:rPr>
          <w:sz w:val="21"/>
          <w:szCs w:val="21"/>
        </w:rPr>
        <w:t>can</w:t>
      </w:r>
      <w:r w:rsidR="004C62BD">
        <w:rPr>
          <w:sz w:val="21"/>
          <w:szCs w:val="21"/>
        </w:rPr>
        <w:t xml:space="preserve"> be implemented in different settings or with other groups</w:t>
      </w:r>
      <w:r w:rsidR="00C96B47">
        <w:rPr>
          <w:sz w:val="21"/>
          <w:szCs w:val="21"/>
        </w:rPr>
        <w:t xml:space="preserve">, </w:t>
      </w:r>
      <w:r w:rsidR="000D4CCE">
        <w:rPr>
          <w:sz w:val="21"/>
          <w:szCs w:val="21"/>
        </w:rPr>
        <w:t xml:space="preserve">while </w:t>
      </w:r>
      <w:r w:rsidR="00C96B47">
        <w:rPr>
          <w:sz w:val="21"/>
          <w:szCs w:val="21"/>
        </w:rPr>
        <w:t xml:space="preserve">achieving the same </w:t>
      </w:r>
      <w:r w:rsidR="000D4CCE">
        <w:rPr>
          <w:sz w:val="21"/>
          <w:szCs w:val="21"/>
        </w:rPr>
        <w:t xml:space="preserve">or consistent </w:t>
      </w:r>
      <w:r w:rsidR="00C96B47">
        <w:rPr>
          <w:sz w:val="21"/>
          <w:szCs w:val="21"/>
        </w:rPr>
        <w:t>impact.</w:t>
      </w:r>
    </w:p>
    <w:p w:rsidR="00555EA9" w:rsidRDefault="00C8757C" w:rsidP="004C62BD">
      <w:pPr>
        <w:spacing w:after="120" w:line="300" w:lineRule="exact"/>
        <w:ind w:left="-142"/>
        <w:rPr>
          <w:sz w:val="21"/>
          <w:szCs w:val="21"/>
        </w:rPr>
      </w:pPr>
      <w:r>
        <w:rPr>
          <w:noProof/>
          <w:sz w:val="21"/>
          <w:szCs w:val="21"/>
          <w:lang w:eastAsia="zh-CN"/>
        </w:rPr>
        <mc:AlternateContent>
          <mc:Choice Requires="wps">
            <w:drawing>
              <wp:anchor distT="0" distB="0" distL="114300" distR="114300" simplePos="0" relativeHeight="251767296" behindDoc="0" locked="0" layoutInCell="1" allowOverlap="1" wp14:anchorId="510ABE3A" wp14:editId="2430A1EC">
                <wp:simplePos x="0" y="0"/>
                <wp:positionH relativeFrom="column">
                  <wp:posOffset>5673725</wp:posOffset>
                </wp:positionH>
                <wp:positionV relativeFrom="paragraph">
                  <wp:posOffset>754380</wp:posOffset>
                </wp:positionV>
                <wp:extent cx="564515" cy="1383665"/>
                <wp:effectExtent l="6350" t="11430" r="10160" b="5080"/>
                <wp:wrapNone/>
                <wp:docPr id="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383665"/>
                        </a:xfrm>
                        <a:prstGeom prst="rect">
                          <a:avLst/>
                        </a:prstGeom>
                        <a:solidFill>
                          <a:srgbClr val="FFFFFF"/>
                        </a:solidFill>
                        <a:ln w="9525">
                          <a:solidFill>
                            <a:schemeClr val="bg1">
                              <a:lumMod val="100000"/>
                              <a:lumOff val="0"/>
                            </a:schemeClr>
                          </a:solidFill>
                          <a:miter lim="800000"/>
                          <a:headEnd/>
                          <a:tailEnd/>
                        </a:ln>
                      </wps:spPr>
                      <wps:txbx>
                        <w:txbxContent>
                          <w:p w:rsidR="007D338C" w:rsidRPr="007D338C" w:rsidRDefault="007D338C">
                            <w:pPr>
                              <w:rPr>
                                <w:b/>
                                <w:sz w:val="21"/>
                                <w:szCs w:val="21"/>
                              </w:rPr>
                            </w:pPr>
                            <w:r w:rsidRPr="007D338C">
                              <w:rPr>
                                <w:b/>
                                <w:sz w:val="21"/>
                                <w:szCs w:val="21"/>
                              </w:rPr>
                              <w:t>Strength of evidence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8" type="#_x0000_t202" style="position:absolute;left:0;text-align:left;margin-left:446.75pt;margin-top:59.4pt;width:44.45pt;height:108.9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" strokecolor="white [3212]">
                <v:textbox style="layout-flow:vertical;mso-layout-flow-alt:bottom-to-top">
                  <w:txbxContent>
                    <w:p w:rsidR="007D338C" w:rsidRPr="007D338C" w:rsidRDefault="007D338C">
                      <w:pPr>
                        <w:rPr>
                          <w:b/>
                          <w:sz w:val="21"/>
                          <w:szCs w:val="21"/>
                        </w:rPr>
                      </w:pPr>
                      <w:r w:rsidRPr="007D338C">
                        <w:rPr>
                          <w:b/>
                          <w:sz w:val="21"/>
                          <w:szCs w:val="21"/>
                        </w:rPr>
                        <w:t>Strength of evidence</w:t>
                      </w:r>
                    </w:p>
                  </w:txbxContent>
                </v:textbox>
              </v:shape>
            </w:pict>
          </mc:Fallback>
        </mc:AlternateContent>
      </w:r>
      <w:r w:rsidR="00C1533A">
        <w:rPr>
          <w:sz w:val="21"/>
          <w:szCs w:val="21"/>
        </w:rPr>
        <w:t xml:space="preserve">Understanding scalability </w:t>
      </w:r>
      <w:r w:rsidR="006E44E2">
        <w:rPr>
          <w:sz w:val="21"/>
          <w:szCs w:val="21"/>
        </w:rPr>
        <w:t xml:space="preserve">helps </w:t>
      </w:r>
      <w:r w:rsidR="00555EA9">
        <w:rPr>
          <w:sz w:val="21"/>
          <w:szCs w:val="21"/>
        </w:rPr>
        <w:t xml:space="preserve">to plan </w:t>
      </w:r>
      <w:r w:rsidR="00C1533A">
        <w:rPr>
          <w:sz w:val="21"/>
          <w:szCs w:val="21"/>
        </w:rPr>
        <w:t>documentation processes</w:t>
      </w:r>
      <w:r w:rsidR="002D0E5D">
        <w:rPr>
          <w:sz w:val="21"/>
          <w:szCs w:val="21"/>
        </w:rPr>
        <w:t xml:space="preserve"> during the design phase of an initiative</w:t>
      </w:r>
      <w:r w:rsidR="00C1533A">
        <w:rPr>
          <w:sz w:val="21"/>
          <w:szCs w:val="21"/>
        </w:rPr>
        <w:t xml:space="preserve">. </w:t>
      </w:r>
    </w:p>
    <w:p w:rsidR="00253953" w:rsidRDefault="00394795" w:rsidP="004C62BD">
      <w:pPr>
        <w:spacing w:after="120" w:line="300" w:lineRule="exact"/>
        <w:ind w:left="-142"/>
        <w:rPr>
          <w:sz w:val="21"/>
          <w:szCs w:val="21"/>
        </w:rPr>
      </w:pPr>
      <w:r>
        <w:rPr>
          <w:sz w:val="21"/>
          <w:szCs w:val="21"/>
        </w:rPr>
        <w:t xml:space="preserve">Detailed information </w:t>
      </w:r>
      <w:r w:rsidR="00253953">
        <w:rPr>
          <w:sz w:val="21"/>
          <w:szCs w:val="21"/>
        </w:rPr>
        <w:t>about the implementation process</w:t>
      </w:r>
      <w:r w:rsidR="00C1533A">
        <w:rPr>
          <w:sz w:val="21"/>
          <w:szCs w:val="21"/>
        </w:rPr>
        <w:t xml:space="preserve"> lets others know the ease with which an initiative could be, or has been scaled. </w:t>
      </w:r>
      <w:r w:rsidR="00253953">
        <w:rPr>
          <w:sz w:val="21"/>
          <w:szCs w:val="21"/>
        </w:rPr>
        <w:t>This documentation also plays an important role in securing attribution</w:t>
      </w:r>
      <w:r w:rsidR="006E44E2">
        <w:rPr>
          <w:sz w:val="21"/>
          <w:szCs w:val="21"/>
        </w:rPr>
        <w:t xml:space="preserve"> and likely impact</w:t>
      </w:r>
      <w:r w:rsidR="00253953">
        <w:rPr>
          <w:sz w:val="21"/>
          <w:szCs w:val="21"/>
        </w:rPr>
        <w:t xml:space="preserve">. </w:t>
      </w:r>
    </w:p>
    <w:p w:rsidR="00C1533A" w:rsidRDefault="00C1533A" w:rsidP="004C62BD">
      <w:pPr>
        <w:spacing w:after="120" w:line="300" w:lineRule="exact"/>
        <w:ind w:left="-142"/>
        <w:rPr>
          <w:sz w:val="21"/>
          <w:szCs w:val="21"/>
        </w:rPr>
      </w:pPr>
      <w:r>
        <w:rPr>
          <w:sz w:val="21"/>
          <w:szCs w:val="21"/>
        </w:rPr>
        <w:t>Not everything can or should be scaled. The other dimensions of the Standards of Evidence and the operational parameters of your local context should be used to determine suitability to scale.</w:t>
      </w:r>
      <w:r w:rsidR="00253953" w:rsidRPr="00253953">
        <w:rPr>
          <w:sz w:val="21"/>
          <w:szCs w:val="21"/>
        </w:rPr>
        <w:t xml:space="preserve"> </w:t>
      </w:r>
    </w:p>
    <w:p w:rsidR="00EB78E7" w:rsidRPr="004C62BD" w:rsidRDefault="00EB78E7" w:rsidP="004C62BD">
      <w:pPr>
        <w:spacing w:after="120" w:line="300" w:lineRule="exact"/>
        <w:ind w:left="-142"/>
        <w:rPr>
          <w:sz w:val="21"/>
          <w:szCs w:val="21"/>
        </w:rPr>
      </w:pPr>
      <w:r w:rsidRPr="004C62BD">
        <w:rPr>
          <w:sz w:val="21"/>
          <w:szCs w:val="21"/>
        </w:rPr>
        <w:t xml:space="preserve">The </w:t>
      </w:r>
      <w:r w:rsidR="000B77EE">
        <w:rPr>
          <w:sz w:val="21"/>
          <w:szCs w:val="21"/>
        </w:rPr>
        <w:t xml:space="preserve">scalability </w:t>
      </w:r>
      <w:r w:rsidRPr="004C62BD">
        <w:rPr>
          <w:sz w:val="21"/>
          <w:szCs w:val="21"/>
        </w:rPr>
        <w:t xml:space="preserve">dimension </w:t>
      </w:r>
      <w:r w:rsidR="000B77EE">
        <w:rPr>
          <w:sz w:val="21"/>
          <w:szCs w:val="21"/>
        </w:rPr>
        <w:t xml:space="preserve">contains </w:t>
      </w:r>
      <w:r w:rsidRPr="004C62BD">
        <w:rPr>
          <w:sz w:val="21"/>
          <w:szCs w:val="21"/>
        </w:rPr>
        <w:t xml:space="preserve">five levels that </w:t>
      </w:r>
      <w:r w:rsidR="000B77EE">
        <w:rPr>
          <w:sz w:val="21"/>
          <w:szCs w:val="21"/>
        </w:rPr>
        <w:t xml:space="preserve">indicate the relative strength of evidence </w:t>
      </w:r>
      <w:r w:rsidR="009A34E2">
        <w:rPr>
          <w:sz w:val="21"/>
          <w:szCs w:val="21"/>
        </w:rPr>
        <w:t>of scalability</w:t>
      </w:r>
      <w:r w:rsidR="000B77EE">
        <w:rPr>
          <w:sz w:val="21"/>
          <w:szCs w:val="21"/>
        </w:rPr>
        <w:t>.</w:t>
      </w:r>
      <w:r w:rsidR="002D0E5D">
        <w:rPr>
          <w:sz w:val="21"/>
          <w:szCs w:val="21"/>
        </w:rPr>
        <w:t xml:space="preserve"> (See diagram to the right)</w:t>
      </w:r>
    </w:p>
    <w:p w:rsidR="00EB78E7" w:rsidRDefault="00EB78E7" w:rsidP="00EB78E7"/>
    <w:p w:rsidR="008F206B" w:rsidRPr="00EB78E7" w:rsidRDefault="00C8757C" w:rsidP="00862224">
      <w:pPr>
        <w:pStyle w:val="Heading1"/>
        <w:ind w:hanging="851"/>
        <w:rPr>
          <w:b/>
          <w:color w:val="B01EE6"/>
          <w:sz w:val="40"/>
          <w:szCs w:val="40"/>
        </w:rPr>
      </w:pPr>
      <w:r>
        <w:rPr>
          <w:b/>
          <w:noProof/>
          <w:color w:val="B01EE6"/>
          <w:sz w:val="40"/>
          <w:szCs w:val="40"/>
          <w:lang w:eastAsia="zh-CN"/>
        </w:rPr>
        <mc:AlternateContent>
          <mc:Choice Requires="wps">
            <w:drawing>
              <wp:anchor distT="0" distB="0" distL="114300" distR="114300" simplePos="0" relativeHeight="251765248" behindDoc="0" locked="0" layoutInCell="1" allowOverlap="1" wp14:anchorId="78C08EF5" wp14:editId="0E393E00">
                <wp:simplePos x="0" y="0"/>
                <wp:positionH relativeFrom="column">
                  <wp:posOffset>-153670</wp:posOffset>
                </wp:positionH>
                <wp:positionV relativeFrom="paragraph">
                  <wp:posOffset>19685</wp:posOffset>
                </wp:positionV>
                <wp:extent cx="5715000" cy="1257300"/>
                <wp:effectExtent l="8255" t="10160" r="10795" b="8890"/>
                <wp:wrapNone/>
                <wp:docPr id="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solidFill>
                          <a:srgbClr val="FFFFFF"/>
                        </a:solidFill>
                        <a:ln w="9525">
                          <a:solidFill>
                            <a:schemeClr val="bg1">
                              <a:lumMod val="100000"/>
                              <a:lumOff val="0"/>
                            </a:schemeClr>
                          </a:solidFill>
                          <a:miter lim="800000"/>
                          <a:headEnd/>
                          <a:tailEnd/>
                        </a:ln>
                      </wps:spPr>
                      <wps:txbx>
                        <w:txbxContent>
                          <w:p w:rsidR="000B77EE" w:rsidRDefault="00C8757C">
                            <w:bookmarkStart w:id="0" w:name="_GoBack"/>
                            <w:r>
                              <w:rPr>
                                <w:noProof/>
                                <w:lang w:eastAsia="zh-CN"/>
                              </w:rPr>
                              <w:drawing>
                                <wp:inline distT="0" distB="0" distL="0" distR="0" wp14:anchorId="55477426" wp14:editId="313FB890">
                                  <wp:extent cx="5520690" cy="90551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0690" cy="905510"/>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9" type="#_x0000_t202" style="position:absolute;margin-left:-12.1pt;margin-top:1.55pt;width:450pt;height:9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" strokecolor="white [3212]">
                <v:textbox>
                  <w:txbxContent>
                    <w:p w:rsidR="000B77EE" w:rsidRDefault="00C8757C">
                      <w:r>
                        <w:rPr>
                          <w:noProof/>
                          <w:lang w:eastAsia="zh-CN"/>
                        </w:rPr>
                        <w:drawing>
                          <wp:inline distT="0" distB="0" distL="0" distR="0" wp14:anchorId="4A977E60" wp14:editId="30D7F4DB">
                            <wp:extent cx="5520690" cy="90551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0690" cy="905510"/>
                                    </a:xfrm>
                                    <a:prstGeom prst="rect">
                                      <a:avLst/>
                                    </a:prstGeom>
                                    <a:noFill/>
                                    <a:ln>
                                      <a:noFill/>
                                    </a:ln>
                                  </pic:spPr>
                                </pic:pic>
                              </a:graphicData>
                            </a:graphic>
                          </wp:inline>
                        </w:drawing>
                      </w:r>
                    </w:p>
                  </w:txbxContent>
                </v:textbox>
              </v:shape>
            </w:pict>
          </mc:Fallback>
        </mc:AlternateContent>
      </w:r>
    </w:p>
    <w:p w:rsidR="008F206B" w:rsidRDefault="008F206B" w:rsidP="00EB78E7">
      <w:pPr>
        <w:pStyle w:val="Heading1"/>
        <w:ind w:left="-851"/>
      </w:pPr>
    </w:p>
    <w:p w:rsidR="00EB78E7" w:rsidRDefault="00EB78E7" w:rsidP="00EB78E7"/>
    <w:p w:rsidR="00EB78E7" w:rsidRDefault="00EB78E7" w:rsidP="00EB78E7"/>
    <w:p w:rsidR="00EB78E7" w:rsidRDefault="00EB78E7" w:rsidP="00EB78E7"/>
    <w:p w:rsidR="00EB78E7" w:rsidRDefault="00EB78E7" w:rsidP="00EB78E7"/>
    <w:p w:rsidR="00EB78E7" w:rsidRDefault="00EB78E7" w:rsidP="00EB78E7"/>
    <w:p w:rsidR="00EB78E7" w:rsidRDefault="00EB78E7" w:rsidP="00EB78E7"/>
    <w:p w:rsidR="00EB78E7" w:rsidRDefault="00EB78E7" w:rsidP="00EB78E7"/>
    <w:p w:rsidR="004C62BD" w:rsidRDefault="004C62BD" w:rsidP="00EB78E7"/>
    <w:p w:rsidR="004C62BD" w:rsidRDefault="004C62BD" w:rsidP="00EB78E7"/>
    <w:p w:rsidR="004C62BD" w:rsidRDefault="00423F82" w:rsidP="00EB78E7">
      <w:r>
        <w:rPr>
          <w:noProof/>
          <w:lang w:eastAsia="zh-CN"/>
        </w:rPr>
        <mc:AlternateContent>
          <mc:Choice Requires="wps">
            <w:drawing>
              <wp:anchor distT="0" distB="0" distL="114300" distR="114300" simplePos="0" relativeHeight="251748864" behindDoc="0" locked="0" layoutInCell="1" allowOverlap="1" wp14:anchorId="7AA6F238" wp14:editId="71A7464D">
                <wp:simplePos x="0" y="0"/>
                <wp:positionH relativeFrom="column">
                  <wp:posOffset>232810</wp:posOffset>
                </wp:positionH>
                <wp:positionV relativeFrom="paragraph">
                  <wp:posOffset>27020</wp:posOffset>
                </wp:positionV>
                <wp:extent cx="0" cy="3945276"/>
                <wp:effectExtent l="76200" t="38100" r="57150" b="17145"/>
                <wp:wrapNone/>
                <wp:docPr id="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45276"/>
                        </a:xfrm>
                        <a:prstGeom prst="straightConnector1">
                          <a:avLst/>
                        </a:prstGeom>
                        <a:noFill/>
                        <a:ln w="9525">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7" o:spid="_x0000_s1026" type="#_x0000_t32" style="position:absolute;margin-left:18.35pt;margin-top:2.15pt;width:0;height:310.65pt;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" strokecolor="#a5a5a5">
                <v:stroke endarrow="block"/>
              </v:shape>
            </w:pict>
          </mc:Fallback>
        </mc:AlternateContent>
      </w:r>
    </w:p>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4C62BD" w:rsidRDefault="004C62BD" w:rsidP="00EB78E7"/>
    <w:p w:rsidR="000B77EE" w:rsidRDefault="000B77EE" w:rsidP="00EB78E7">
      <w:pPr>
        <w:sectPr w:rsidR="000B77EE" w:rsidSect="004C62BD">
          <w:type w:val="continuous"/>
          <w:pgSz w:w="16838" w:h="11906" w:orient="landscape" w:code="9"/>
          <w:pgMar w:top="1440" w:right="1103" w:bottom="993" w:left="602" w:header="709" w:footer="709" w:gutter="0"/>
          <w:cols w:num="2" w:space="680" w:equalWidth="0">
            <w:col w:w="8470" w:space="1418"/>
            <w:col w:w="5245"/>
          </w:cols>
          <w:titlePg/>
          <w:docGrid w:linePitch="360"/>
        </w:sectPr>
      </w:pPr>
    </w:p>
    <w:p w:rsidR="008C38A0" w:rsidRDefault="00F55781" w:rsidP="006D0D2F">
      <w:pPr>
        <w:pStyle w:val="ListBullet2"/>
        <w:ind w:left="-851"/>
        <w:rPr>
          <w:b/>
          <w:color w:val="B01EE6"/>
          <w:sz w:val="32"/>
          <w:szCs w:val="32"/>
        </w:rPr>
      </w:pPr>
      <w:r>
        <w:rPr>
          <w:b/>
          <w:color w:val="B01EE6"/>
          <w:sz w:val="32"/>
          <w:szCs w:val="32"/>
        </w:rPr>
        <w:lastRenderedPageBreak/>
        <w:t>Before you scale</w:t>
      </w:r>
    </w:p>
    <w:p w:rsidR="006D0D2F" w:rsidRPr="006D0D2F" w:rsidRDefault="006D0D2F" w:rsidP="006D0D2F">
      <w:pPr>
        <w:pStyle w:val="ListBullet2"/>
        <w:ind w:left="-851"/>
        <w:rPr>
          <w:sz w:val="20"/>
        </w:rPr>
      </w:pPr>
    </w:p>
    <w:p w:rsidR="008C38A0" w:rsidRDefault="00C95A9A" w:rsidP="00555EA9">
      <w:pPr>
        <w:ind w:left="-851"/>
        <w:rPr>
          <w:sz w:val="21"/>
          <w:szCs w:val="21"/>
        </w:rPr>
      </w:pPr>
      <w:r>
        <w:rPr>
          <w:sz w:val="21"/>
          <w:szCs w:val="21"/>
        </w:rPr>
        <w:t>Scaling an initiative</w:t>
      </w:r>
      <w:r w:rsidR="001C4067">
        <w:rPr>
          <w:sz w:val="21"/>
          <w:szCs w:val="21"/>
        </w:rPr>
        <w:t>,</w:t>
      </w:r>
      <w:r>
        <w:rPr>
          <w:sz w:val="21"/>
          <w:szCs w:val="21"/>
        </w:rPr>
        <w:t xml:space="preserve"> </w:t>
      </w:r>
      <w:r w:rsidR="001C4067">
        <w:rPr>
          <w:sz w:val="21"/>
          <w:szCs w:val="21"/>
        </w:rPr>
        <w:t xml:space="preserve">across different settings or with different groups, </w:t>
      </w:r>
      <w:r>
        <w:rPr>
          <w:sz w:val="21"/>
          <w:szCs w:val="21"/>
        </w:rPr>
        <w:t>requires time and effort and is not always appropriate or practical</w:t>
      </w:r>
      <w:r w:rsidR="001C4067">
        <w:rPr>
          <w:sz w:val="21"/>
          <w:szCs w:val="21"/>
        </w:rPr>
        <w:t>.</w:t>
      </w:r>
      <w:r>
        <w:rPr>
          <w:sz w:val="21"/>
          <w:szCs w:val="21"/>
        </w:rPr>
        <w:t xml:space="preserve"> </w:t>
      </w:r>
      <w:r w:rsidR="00466BB8">
        <w:rPr>
          <w:sz w:val="21"/>
          <w:szCs w:val="21"/>
        </w:rPr>
        <w:t>Scalability is concerned with how clearly the model of implementation</w:t>
      </w:r>
      <w:r w:rsidR="00555EA9">
        <w:rPr>
          <w:sz w:val="21"/>
          <w:szCs w:val="21"/>
        </w:rPr>
        <w:t xml:space="preserve"> for the initiative</w:t>
      </w:r>
      <w:r w:rsidR="001C4067">
        <w:rPr>
          <w:sz w:val="21"/>
          <w:szCs w:val="21"/>
        </w:rPr>
        <w:t xml:space="preserve"> has been documented and articulated</w:t>
      </w:r>
      <w:r w:rsidR="00555EA9">
        <w:rPr>
          <w:sz w:val="21"/>
          <w:szCs w:val="21"/>
        </w:rPr>
        <w:t>. Th</w:t>
      </w:r>
      <w:r w:rsidR="0002163C">
        <w:rPr>
          <w:sz w:val="21"/>
          <w:szCs w:val="21"/>
        </w:rPr>
        <w:t>is</w:t>
      </w:r>
      <w:r w:rsidR="00555EA9">
        <w:rPr>
          <w:sz w:val="21"/>
          <w:szCs w:val="21"/>
        </w:rPr>
        <w:t xml:space="preserve"> documentation also assists in strengthening the claim of attribution and supporting consistency and fidelity in implementation.</w:t>
      </w:r>
    </w:p>
    <w:p w:rsidR="00555EA9" w:rsidRDefault="00555EA9" w:rsidP="00555EA9">
      <w:pPr>
        <w:ind w:left="-851"/>
        <w:rPr>
          <w:sz w:val="21"/>
          <w:szCs w:val="21"/>
        </w:rPr>
      </w:pPr>
    </w:p>
    <w:p w:rsidR="00555EA9" w:rsidRDefault="00555EA9" w:rsidP="00555EA9">
      <w:pPr>
        <w:ind w:left="-851"/>
        <w:rPr>
          <w:sz w:val="21"/>
          <w:szCs w:val="21"/>
        </w:rPr>
      </w:pPr>
      <w:r>
        <w:rPr>
          <w:sz w:val="21"/>
          <w:szCs w:val="21"/>
        </w:rPr>
        <w:t>A clearly articulated model of implementation may include: manuals or facilitator guides, implementation resources, professional learning materials, estimated inputs and/or reporting guides. The quality and detail of this information will support the fidelity of an initiative’s delivery across new settings and groups.</w:t>
      </w:r>
    </w:p>
    <w:p w:rsidR="00555EA9" w:rsidRDefault="00555EA9" w:rsidP="00555EA9">
      <w:pPr>
        <w:ind w:left="-851"/>
        <w:rPr>
          <w:sz w:val="21"/>
          <w:szCs w:val="21"/>
        </w:rPr>
      </w:pPr>
    </w:p>
    <w:p w:rsidR="00555EA9" w:rsidRDefault="00555EA9" w:rsidP="00555EA9">
      <w:pPr>
        <w:ind w:left="-851"/>
        <w:rPr>
          <w:sz w:val="21"/>
          <w:szCs w:val="21"/>
        </w:rPr>
      </w:pPr>
      <w:r>
        <w:rPr>
          <w:sz w:val="21"/>
          <w:szCs w:val="21"/>
        </w:rPr>
        <w:t>The following questions can guide documentation of the model of implementation</w:t>
      </w:r>
      <w:r w:rsidR="008A232E">
        <w:rPr>
          <w:sz w:val="21"/>
          <w:szCs w:val="21"/>
        </w:rPr>
        <w:t xml:space="preserve"> for an initiative</w:t>
      </w:r>
      <w:r>
        <w:rPr>
          <w:sz w:val="21"/>
          <w:szCs w:val="21"/>
        </w:rPr>
        <w:t>:</w:t>
      </w:r>
      <w:r w:rsidR="004C653C">
        <w:rPr>
          <w:rStyle w:val="FootnoteReference"/>
          <w:sz w:val="21"/>
          <w:szCs w:val="21"/>
        </w:rPr>
        <w:footnoteReference w:id="1"/>
      </w:r>
    </w:p>
    <w:p w:rsidR="00555EA9" w:rsidRDefault="008A232E" w:rsidP="008A232E">
      <w:pPr>
        <w:numPr>
          <w:ilvl w:val="0"/>
          <w:numId w:val="17"/>
        </w:numPr>
        <w:ind w:left="-142" w:hanging="425"/>
        <w:rPr>
          <w:sz w:val="21"/>
          <w:szCs w:val="21"/>
        </w:rPr>
      </w:pPr>
      <w:r>
        <w:rPr>
          <w:sz w:val="21"/>
          <w:szCs w:val="21"/>
        </w:rPr>
        <w:t xml:space="preserve">Are there environmental factors unique to the implementation of the initiative that influences its success? </w:t>
      </w:r>
    </w:p>
    <w:p w:rsidR="008A232E" w:rsidRDefault="008A232E" w:rsidP="008A232E">
      <w:pPr>
        <w:numPr>
          <w:ilvl w:val="0"/>
          <w:numId w:val="17"/>
        </w:numPr>
        <w:ind w:left="-142" w:hanging="425"/>
        <w:rPr>
          <w:sz w:val="21"/>
          <w:szCs w:val="21"/>
        </w:rPr>
      </w:pPr>
      <w:r>
        <w:rPr>
          <w:sz w:val="21"/>
          <w:szCs w:val="21"/>
        </w:rPr>
        <w:t>What are the key features that contributed to the initiative’s success that need to be retained?  For example, funding, staffing with particular expertise, training, facilities, management or leadership approach.</w:t>
      </w:r>
    </w:p>
    <w:p w:rsidR="008A232E" w:rsidRDefault="008A232E" w:rsidP="008A232E">
      <w:pPr>
        <w:numPr>
          <w:ilvl w:val="0"/>
          <w:numId w:val="17"/>
        </w:numPr>
        <w:ind w:left="-142" w:hanging="425"/>
        <w:rPr>
          <w:sz w:val="21"/>
          <w:szCs w:val="21"/>
        </w:rPr>
      </w:pPr>
      <w:r>
        <w:rPr>
          <w:sz w:val="21"/>
          <w:szCs w:val="21"/>
        </w:rPr>
        <w:t>What are the underlying features critical to implementation?  For example, level of collaboration between staff and stakeholders, stakeholder participation in decisions o</w:t>
      </w:r>
      <w:r w:rsidR="001C4067">
        <w:rPr>
          <w:sz w:val="21"/>
          <w:szCs w:val="21"/>
        </w:rPr>
        <w:t>r</w:t>
      </w:r>
      <w:r>
        <w:rPr>
          <w:sz w:val="21"/>
          <w:szCs w:val="21"/>
        </w:rPr>
        <w:t xml:space="preserve"> effective feedback loops.</w:t>
      </w:r>
    </w:p>
    <w:p w:rsidR="008A232E" w:rsidRDefault="008A232E" w:rsidP="008A232E">
      <w:pPr>
        <w:numPr>
          <w:ilvl w:val="0"/>
          <w:numId w:val="17"/>
        </w:numPr>
        <w:ind w:left="-142" w:hanging="425"/>
        <w:rPr>
          <w:sz w:val="21"/>
          <w:szCs w:val="21"/>
        </w:rPr>
      </w:pPr>
      <w:r>
        <w:rPr>
          <w:sz w:val="21"/>
          <w:szCs w:val="21"/>
        </w:rPr>
        <w:t xml:space="preserve">What are the minimum standards that must be met for the initiative to consistently produce </w:t>
      </w:r>
      <w:r w:rsidR="001C4067">
        <w:rPr>
          <w:sz w:val="21"/>
          <w:szCs w:val="21"/>
        </w:rPr>
        <w:t xml:space="preserve">equivalent </w:t>
      </w:r>
      <w:r>
        <w:rPr>
          <w:sz w:val="21"/>
          <w:szCs w:val="21"/>
        </w:rPr>
        <w:t>evidence of impact?</w:t>
      </w:r>
    </w:p>
    <w:p w:rsidR="008A232E" w:rsidRDefault="008A232E" w:rsidP="008A232E">
      <w:pPr>
        <w:ind w:left="-851"/>
        <w:rPr>
          <w:sz w:val="21"/>
          <w:szCs w:val="21"/>
        </w:rPr>
      </w:pPr>
    </w:p>
    <w:p w:rsidR="002D0E5D" w:rsidRDefault="002D0E5D" w:rsidP="008A232E">
      <w:pPr>
        <w:ind w:left="-851"/>
        <w:rPr>
          <w:sz w:val="21"/>
          <w:szCs w:val="21"/>
        </w:rPr>
      </w:pPr>
    </w:p>
    <w:p w:rsidR="008A232E" w:rsidRDefault="008A232E" w:rsidP="002D0E5D">
      <w:pPr>
        <w:rPr>
          <w:sz w:val="21"/>
          <w:szCs w:val="21"/>
        </w:rPr>
      </w:pPr>
      <w:r>
        <w:rPr>
          <w:sz w:val="21"/>
          <w:szCs w:val="21"/>
        </w:rPr>
        <w:lastRenderedPageBreak/>
        <w:t>The following questions can help guide thinking about the practicality and feasibility of scaling an initiative:</w:t>
      </w:r>
    </w:p>
    <w:p w:rsidR="008A232E" w:rsidRDefault="008A232E" w:rsidP="002D0E5D">
      <w:pPr>
        <w:numPr>
          <w:ilvl w:val="0"/>
          <w:numId w:val="17"/>
        </w:numPr>
        <w:ind w:left="709" w:hanging="425"/>
        <w:rPr>
          <w:sz w:val="21"/>
          <w:szCs w:val="21"/>
        </w:rPr>
      </w:pPr>
      <w:r>
        <w:rPr>
          <w:sz w:val="21"/>
          <w:szCs w:val="21"/>
        </w:rPr>
        <w:t xml:space="preserve">Is the initiative aligned to the </w:t>
      </w:r>
      <w:r w:rsidR="00A875BC">
        <w:rPr>
          <w:sz w:val="21"/>
          <w:szCs w:val="21"/>
        </w:rPr>
        <w:t xml:space="preserve">department’s </w:t>
      </w:r>
      <w:r>
        <w:rPr>
          <w:sz w:val="21"/>
          <w:szCs w:val="21"/>
        </w:rPr>
        <w:t>strategic objectives and priorities?</w:t>
      </w:r>
    </w:p>
    <w:p w:rsidR="00BB0C4C" w:rsidRDefault="00BB0C4C" w:rsidP="000F0F87">
      <w:pPr>
        <w:numPr>
          <w:ilvl w:val="0"/>
          <w:numId w:val="17"/>
        </w:numPr>
        <w:ind w:left="709" w:hanging="425"/>
        <w:rPr>
          <w:sz w:val="21"/>
          <w:szCs w:val="21"/>
        </w:rPr>
      </w:pPr>
      <w:r>
        <w:rPr>
          <w:sz w:val="21"/>
          <w:szCs w:val="21"/>
        </w:rPr>
        <w:t>Is there commitment across all levels to dedicate time and resources to scaling</w:t>
      </w:r>
      <w:r w:rsidR="00DB3843">
        <w:rPr>
          <w:sz w:val="21"/>
          <w:szCs w:val="21"/>
        </w:rPr>
        <w:t>?</w:t>
      </w:r>
    </w:p>
    <w:p w:rsidR="008A232E" w:rsidRDefault="008A232E" w:rsidP="000F0F87">
      <w:pPr>
        <w:numPr>
          <w:ilvl w:val="0"/>
          <w:numId w:val="17"/>
        </w:numPr>
        <w:ind w:left="709" w:hanging="425"/>
        <w:rPr>
          <w:sz w:val="21"/>
          <w:szCs w:val="21"/>
        </w:rPr>
      </w:pPr>
      <w:r>
        <w:rPr>
          <w:sz w:val="21"/>
          <w:szCs w:val="21"/>
        </w:rPr>
        <w:t>Are there appropriate processes, structures, facilities, skills and capabilities to implement the initiative?</w:t>
      </w:r>
    </w:p>
    <w:p w:rsidR="008A232E" w:rsidRDefault="008A232E" w:rsidP="000F0F87">
      <w:pPr>
        <w:numPr>
          <w:ilvl w:val="0"/>
          <w:numId w:val="17"/>
        </w:numPr>
        <w:ind w:left="709" w:hanging="425"/>
        <w:rPr>
          <w:sz w:val="21"/>
          <w:szCs w:val="21"/>
        </w:rPr>
      </w:pPr>
      <w:r>
        <w:rPr>
          <w:sz w:val="21"/>
          <w:szCs w:val="21"/>
        </w:rPr>
        <w:t>Are the conditions compatible with supporting implementation at scale?</w:t>
      </w:r>
    </w:p>
    <w:p w:rsidR="008A232E" w:rsidRPr="00BB0C4C" w:rsidRDefault="008A232E" w:rsidP="006D0D2F">
      <w:pPr>
        <w:numPr>
          <w:ilvl w:val="0"/>
          <w:numId w:val="17"/>
        </w:numPr>
        <w:ind w:left="709" w:hanging="425"/>
        <w:rPr>
          <w:sz w:val="21"/>
          <w:szCs w:val="21"/>
        </w:rPr>
      </w:pPr>
      <w:r w:rsidRPr="00BB0C4C">
        <w:rPr>
          <w:sz w:val="21"/>
          <w:szCs w:val="21"/>
        </w:rPr>
        <w:t>Are the timeframes for scaling the initiative realistic?</w:t>
      </w:r>
    </w:p>
    <w:p w:rsidR="008A232E" w:rsidRDefault="008A232E" w:rsidP="006D0D2F">
      <w:pPr>
        <w:numPr>
          <w:ilvl w:val="0"/>
          <w:numId w:val="17"/>
        </w:numPr>
        <w:ind w:left="709" w:hanging="425"/>
        <w:rPr>
          <w:sz w:val="21"/>
          <w:szCs w:val="21"/>
        </w:rPr>
      </w:pPr>
      <w:r>
        <w:rPr>
          <w:sz w:val="21"/>
          <w:szCs w:val="21"/>
        </w:rPr>
        <w:t>Is scaling the initiative sustainable over the longer term?</w:t>
      </w:r>
    </w:p>
    <w:p w:rsidR="00ED51D2" w:rsidRPr="008A232E" w:rsidRDefault="00ED51D2" w:rsidP="006D0D2F">
      <w:pPr>
        <w:ind w:left="709"/>
        <w:rPr>
          <w:sz w:val="21"/>
          <w:szCs w:val="21"/>
        </w:rPr>
      </w:pPr>
    </w:p>
    <w:p w:rsidR="00411805" w:rsidRDefault="008A232E" w:rsidP="008A232E">
      <w:pPr>
        <w:rPr>
          <w:sz w:val="21"/>
          <w:szCs w:val="21"/>
        </w:rPr>
      </w:pPr>
      <w:r>
        <w:rPr>
          <w:sz w:val="21"/>
          <w:szCs w:val="21"/>
        </w:rPr>
        <w:t xml:space="preserve">The following questions can help guide thinking about what </w:t>
      </w:r>
      <w:r w:rsidR="00ED51D2">
        <w:rPr>
          <w:sz w:val="21"/>
          <w:szCs w:val="21"/>
        </w:rPr>
        <w:t xml:space="preserve">organisational and personnel </w:t>
      </w:r>
      <w:r>
        <w:rPr>
          <w:sz w:val="21"/>
          <w:szCs w:val="21"/>
        </w:rPr>
        <w:t>capacity is required for scaling an initiative:</w:t>
      </w:r>
    </w:p>
    <w:p w:rsidR="00567F14" w:rsidRDefault="0002163C" w:rsidP="00D020A2">
      <w:pPr>
        <w:numPr>
          <w:ilvl w:val="0"/>
          <w:numId w:val="17"/>
        </w:numPr>
        <w:ind w:left="709" w:hanging="425"/>
        <w:rPr>
          <w:sz w:val="21"/>
          <w:szCs w:val="21"/>
        </w:rPr>
      </w:pPr>
      <w:r>
        <w:rPr>
          <w:sz w:val="21"/>
          <w:szCs w:val="21"/>
        </w:rPr>
        <w:t xml:space="preserve">What </w:t>
      </w:r>
      <w:r w:rsidR="001C4067">
        <w:rPr>
          <w:sz w:val="21"/>
          <w:szCs w:val="21"/>
        </w:rPr>
        <w:t xml:space="preserve">factors </w:t>
      </w:r>
      <w:r>
        <w:rPr>
          <w:sz w:val="21"/>
          <w:szCs w:val="21"/>
        </w:rPr>
        <w:t>need to be in place to support scaling?</w:t>
      </w:r>
    </w:p>
    <w:p w:rsidR="0002163C" w:rsidRDefault="0002163C" w:rsidP="00D020A2">
      <w:pPr>
        <w:numPr>
          <w:ilvl w:val="0"/>
          <w:numId w:val="17"/>
        </w:numPr>
        <w:ind w:left="709" w:hanging="425"/>
        <w:rPr>
          <w:sz w:val="21"/>
          <w:szCs w:val="21"/>
        </w:rPr>
      </w:pPr>
      <w:r>
        <w:rPr>
          <w:sz w:val="21"/>
          <w:szCs w:val="21"/>
        </w:rPr>
        <w:t>Does the team or organisation have</w:t>
      </w:r>
      <w:r w:rsidR="001C4067">
        <w:rPr>
          <w:sz w:val="21"/>
          <w:szCs w:val="21"/>
        </w:rPr>
        <w:t xml:space="preserve"> the</w:t>
      </w:r>
      <w:r>
        <w:rPr>
          <w:sz w:val="21"/>
          <w:szCs w:val="21"/>
        </w:rPr>
        <w:t xml:space="preserve"> capacity to support and guide implementation elsewhere?</w:t>
      </w:r>
    </w:p>
    <w:p w:rsidR="0002163C" w:rsidRDefault="0002163C" w:rsidP="00D020A2">
      <w:pPr>
        <w:numPr>
          <w:ilvl w:val="0"/>
          <w:numId w:val="17"/>
        </w:numPr>
        <w:ind w:left="709" w:hanging="425"/>
        <w:rPr>
          <w:sz w:val="21"/>
          <w:szCs w:val="21"/>
        </w:rPr>
      </w:pPr>
      <w:r>
        <w:rPr>
          <w:sz w:val="21"/>
          <w:szCs w:val="21"/>
        </w:rPr>
        <w:t>Are there systems in place to support scaling?</w:t>
      </w:r>
    </w:p>
    <w:p w:rsidR="0020340B" w:rsidRDefault="0020340B" w:rsidP="0020340B">
      <w:pPr>
        <w:ind w:left="426"/>
        <w:rPr>
          <w:sz w:val="21"/>
          <w:szCs w:val="21"/>
        </w:rPr>
      </w:pPr>
    </w:p>
    <w:p w:rsidR="00131E0A" w:rsidRDefault="00131E0A" w:rsidP="00F0182A">
      <w:pPr>
        <w:ind w:left="426" w:right="-164"/>
        <w:rPr>
          <w:sz w:val="21"/>
          <w:szCs w:val="21"/>
        </w:rPr>
      </w:pPr>
    </w:p>
    <w:p w:rsidR="00EB60EF" w:rsidRDefault="00131E0A" w:rsidP="000F0F87">
      <w:pPr>
        <w:ind w:right="-164" w:hanging="851"/>
        <w:rPr>
          <w:b/>
          <w:color w:val="B01EE6"/>
          <w:sz w:val="32"/>
          <w:szCs w:val="32"/>
        </w:rPr>
      </w:pPr>
      <w:r>
        <w:rPr>
          <w:sz w:val="21"/>
          <w:szCs w:val="21"/>
        </w:rPr>
        <w:br w:type="column"/>
      </w:r>
      <w:r w:rsidR="009A34E2">
        <w:rPr>
          <w:b/>
          <w:color w:val="B01EE6"/>
          <w:sz w:val="32"/>
          <w:szCs w:val="32"/>
        </w:rPr>
        <w:lastRenderedPageBreak/>
        <w:t>D</w:t>
      </w:r>
      <w:r w:rsidR="00515548">
        <w:rPr>
          <w:b/>
          <w:color w:val="B01EE6"/>
          <w:sz w:val="32"/>
          <w:szCs w:val="32"/>
        </w:rPr>
        <w:t>ifferent ways to scale</w:t>
      </w:r>
    </w:p>
    <w:p w:rsidR="00C51319" w:rsidRPr="004C653C" w:rsidRDefault="00C51319" w:rsidP="00C51319">
      <w:pPr>
        <w:rPr>
          <w:b/>
          <w:sz w:val="20"/>
        </w:rPr>
      </w:pPr>
    </w:p>
    <w:p w:rsidR="004C3C9F" w:rsidRDefault="00515548" w:rsidP="00EB60EF">
      <w:pPr>
        <w:ind w:left="-851"/>
        <w:rPr>
          <w:sz w:val="21"/>
          <w:szCs w:val="21"/>
        </w:rPr>
      </w:pPr>
      <w:r>
        <w:rPr>
          <w:sz w:val="21"/>
          <w:szCs w:val="21"/>
        </w:rPr>
        <w:t>There are different ways to scale initiatives</w:t>
      </w:r>
      <w:r w:rsidR="00EF14C8">
        <w:rPr>
          <w:sz w:val="21"/>
          <w:szCs w:val="21"/>
        </w:rPr>
        <w:t xml:space="preserve"> and the following pathways are not exclusive and can be combined</w:t>
      </w:r>
      <w:r w:rsidR="0049659B">
        <w:rPr>
          <w:rStyle w:val="FootnoteReference"/>
          <w:sz w:val="21"/>
          <w:szCs w:val="21"/>
        </w:rPr>
        <w:footnoteReference w:id="2"/>
      </w:r>
      <w:r w:rsidR="00EF14C8">
        <w:rPr>
          <w:sz w:val="21"/>
          <w:szCs w:val="21"/>
        </w:rPr>
        <w:t>.</w:t>
      </w:r>
    </w:p>
    <w:p w:rsidR="00515548" w:rsidRPr="004C653C" w:rsidRDefault="00515548" w:rsidP="00EB60EF">
      <w:pPr>
        <w:ind w:left="-851"/>
        <w:rPr>
          <w:sz w:val="20"/>
        </w:rPr>
      </w:pPr>
    </w:p>
    <w:p w:rsidR="006E17E6" w:rsidRDefault="006E17E6" w:rsidP="004B0024">
      <w:pPr>
        <w:numPr>
          <w:ilvl w:val="0"/>
          <w:numId w:val="13"/>
        </w:numPr>
        <w:rPr>
          <w:b/>
          <w:color w:val="B01EE6"/>
          <w:sz w:val="22"/>
          <w:szCs w:val="22"/>
        </w:rPr>
      </w:pPr>
      <w:r>
        <w:rPr>
          <w:b/>
          <w:color w:val="B01EE6"/>
          <w:sz w:val="22"/>
          <w:szCs w:val="22"/>
        </w:rPr>
        <w:t>D</w:t>
      </w:r>
      <w:r w:rsidR="00A16D68">
        <w:rPr>
          <w:b/>
          <w:color w:val="B01EE6"/>
          <w:sz w:val="22"/>
          <w:szCs w:val="22"/>
        </w:rPr>
        <w:t>isseminatio</w:t>
      </w:r>
      <w:r>
        <w:rPr>
          <w:b/>
          <w:color w:val="B01EE6"/>
          <w:sz w:val="22"/>
          <w:szCs w:val="22"/>
        </w:rPr>
        <w:t>n</w:t>
      </w:r>
    </w:p>
    <w:p w:rsidR="006E17E6" w:rsidRDefault="00EF14C8" w:rsidP="006E17E6">
      <w:pPr>
        <w:ind w:left="-491"/>
        <w:rPr>
          <w:sz w:val="21"/>
          <w:szCs w:val="21"/>
        </w:rPr>
      </w:pPr>
      <w:r>
        <w:rPr>
          <w:sz w:val="21"/>
          <w:szCs w:val="21"/>
        </w:rPr>
        <w:t>This</w:t>
      </w:r>
      <w:r w:rsidR="00A16D68">
        <w:rPr>
          <w:sz w:val="21"/>
          <w:szCs w:val="21"/>
        </w:rPr>
        <w:t xml:space="preserve"> pathway involves communicating and promoting </w:t>
      </w:r>
      <w:r>
        <w:rPr>
          <w:sz w:val="21"/>
          <w:szCs w:val="21"/>
        </w:rPr>
        <w:t>an</w:t>
      </w:r>
      <w:r w:rsidR="00A16D68">
        <w:rPr>
          <w:sz w:val="21"/>
          <w:szCs w:val="21"/>
        </w:rPr>
        <w:t xml:space="preserve"> initiative to generate interest</w:t>
      </w:r>
      <w:r w:rsidR="000D4CCE">
        <w:rPr>
          <w:sz w:val="21"/>
          <w:szCs w:val="21"/>
        </w:rPr>
        <w:t>, participation</w:t>
      </w:r>
      <w:r w:rsidR="00A16D68">
        <w:rPr>
          <w:sz w:val="21"/>
          <w:szCs w:val="21"/>
        </w:rPr>
        <w:t xml:space="preserve"> and scale. </w:t>
      </w:r>
      <w:r>
        <w:rPr>
          <w:sz w:val="21"/>
          <w:szCs w:val="21"/>
        </w:rPr>
        <w:t>Dissemination could</w:t>
      </w:r>
      <w:r w:rsidR="00C51319">
        <w:rPr>
          <w:sz w:val="21"/>
          <w:szCs w:val="21"/>
        </w:rPr>
        <w:t xml:space="preserve"> be achieved </w:t>
      </w:r>
      <w:r>
        <w:rPr>
          <w:sz w:val="21"/>
          <w:szCs w:val="21"/>
        </w:rPr>
        <w:t>through providing advice,</w:t>
      </w:r>
      <w:r w:rsidR="00C51319">
        <w:rPr>
          <w:sz w:val="21"/>
          <w:szCs w:val="21"/>
        </w:rPr>
        <w:t xml:space="preserve"> delivery of training to interested individuals or organisations</w:t>
      </w:r>
      <w:r>
        <w:rPr>
          <w:sz w:val="21"/>
          <w:szCs w:val="21"/>
        </w:rPr>
        <w:t xml:space="preserve"> or influencing organisations and individuals</w:t>
      </w:r>
      <w:r w:rsidR="00C51319">
        <w:rPr>
          <w:sz w:val="21"/>
          <w:szCs w:val="21"/>
        </w:rPr>
        <w:t>.</w:t>
      </w:r>
      <w:r w:rsidR="00A16D68">
        <w:rPr>
          <w:sz w:val="21"/>
          <w:szCs w:val="21"/>
        </w:rPr>
        <w:t xml:space="preserve"> </w:t>
      </w:r>
      <w:r w:rsidR="00C51319">
        <w:rPr>
          <w:sz w:val="21"/>
          <w:szCs w:val="21"/>
        </w:rPr>
        <w:t>This</w:t>
      </w:r>
      <w:r w:rsidR="00A16D68">
        <w:rPr>
          <w:sz w:val="21"/>
          <w:szCs w:val="21"/>
        </w:rPr>
        <w:t xml:space="preserve"> pathway offers </w:t>
      </w:r>
      <w:r>
        <w:rPr>
          <w:sz w:val="21"/>
          <w:szCs w:val="21"/>
        </w:rPr>
        <w:t>a lower level</w:t>
      </w:r>
      <w:r w:rsidR="00A16D68">
        <w:rPr>
          <w:sz w:val="21"/>
          <w:szCs w:val="21"/>
        </w:rPr>
        <w:t xml:space="preserve"> of control over impleme</w:t>
      </w:r>
      <w:r w:rsidR="00C51319">
        <w:rPr>
          <w:sz w:val="21"/>
          <w:szCs w:val="21"/>
        </w:rPr>
        <w:t xml:space="preserve">ntation of </w:t>
      </w:r>
      <w:r>
        <w:rPr>
          <w:sz w:val="21"/>
          <w:szCs w:val="21"/>
        </w:rPr>
        <w:t xml:space="preserve">an </w:t>
      </w:r>
      <w:r w:rsidR="00C51319">
        <w:rPr>
          <w:sz w:val="21"/>
          <w:szCs w:val="21"/>
        </w:rPr>
        <w:t xml:space="preserve">initiative elsewhere, as it is dependent upon interested individuals or organisations scaling </w:t>
      </w:r>
      <w:r>
        <w:rPr>
          <w:sz w:val="21"/>
          <w:szCs w:val="21"/>
        </w:rPr>
        <w:t>an</w:t>
      </w:r>
      <w:r w:rsidR="00C51319">
        <w:rPr>
          <w:sz w:val="21"/>
          <w:szCs w:val="21"/>
        </w:rPr>
        <w:t xml:space="preserve"> initiative as </w:t>
      </w:r>
      <w:r>
        <w:rPr>
          <w:sz w:val="21"/>
          <w:szCs w:val="21"/>
        </w:rPr>
        <w:t>advised.</w:t>
      </w:r>
    </w:p>
    <w:p w:rsidR="00A16D68" w:rsidRPr="006E17E6" w:rsidRDefault="00A16D68" w:rsidP="006E17E6">
      <w:pPr>
        <w:ind w:left="-491"/>
        <w:rPr>
          <w:sz w:val="21"/>
          <w:szCs w:val="21"/>
        </w:rPr>
      </w:pPr>
    </w:p>
    <w:p w:rsidR="004B0024" w:rsidRPr="004B0024" w:rsidRDefault="005F794D" w:rsidP="004B0024">
      <w:pPr>
        <w:numPr>
          <w:ilvl w:val="0"/>
          <w:numId w:val="13"/>
        </w:numPr>
        <w:rPr>
          <w:b/>
          <w:color w:val="B01EE6"/>
          <w:sz w:val="22"/>
          <w:szCs w:val="22"/>
        </w:rPr>
      </w:pPr>
      <w:r>
        <w:rPr>
          <w:b/>
          <w:color w:val="B01EE6"/>
          <w:sz w:val="22"/>
          <w:szCs w:val="22"/>
        </w:rPr>
        <w:t>Expansion</w:t>
      </w:r>
    </w:p>
    <w:p w:rsidR="004B0024" w:rsidRDefault="005F794D" w:rsidP="00CD6382">
      <w:pPr>
        <w:ind w:left="-491"/>
        <w:rPr>
          <w:sz w:val="21"/>
          <w:szCs w:val="21"/>
        </w:rPr>
      </w:pPr>
      <w:r>
        <w:rPr>
          <w:sz w:val="21"/>
          <w:szCs w:val="21"/>
        </w:rPr>
        <w:t xml:space="preserve">Expansion focuses on growing the capacity of </w:t>
      </w:r>
      <w:r w:rsidR="00C51319">
        <w:rPr>
          <w:sz w:val="21"/>
          <w:szCs w:val="21"/>
        </w:rPr>
        <w:t xml:space="preserve">an </w:t>
      </w:r>
      <w:r>
        <w:rPr>
          <w:sz w:val="21"/>
          <w:szCs w:val="21"/>
        </w:rPr>
        <w:t xml:space="preserve">organisation </w:t>
      </w:r>
      <w:r w:rsidR="00EF14C8">
        <w:rPr>
          <w:sz w:val="21"/>
          <w:szCs w:val="21"/>
        </w:rPr>
        <w:t>that has already implemented an initiative in one setting or wit</w:t>
      </w:r>
      <w:r w:rsidR="002D0E5D">
        <w:rPr>
          <w:sz w:val="21"/>
          <w:szCs w:val="21"/>
        </w:rPr>
        <w:t>h one group</w:t>
      </w:r>
      <w:r w:rsidR="006A0CDA">
        <w:rPr>
          <w:sz w:val="21"/>
          <w:szCs w:val="21"/>
        </w:rPr>
        <w:t>,</w:t>
      </w:r>
      <w:r w:rsidR="00EF14C8">
        <w:rPr>
          <w:sz w:val="21"/>
          <w:szCs w:val="21"/>
        </w:rPr>
        <w:t xml:space="preserve"> </w:t>
      </w:r>
      <w:r>
        <w:rPr>
          <w:sz w:val="21"/>
          <w:szCs w:val="21"/>
        </w:rPr>
        <w:t xml:space="preserve">to </w:t>
      </w:r>
      <w:r w:rsidR="006E17E6">
        <w:rPr>
          <w:sz w:val="21"/>
          <w:szCs w:val="21"/>
        </w:rPr>
        <w:t>implement the initiative elsewhere. This might involve</w:t>
      </w:r>
      <w:r w:rsidR="00A16D68">
        <w:rPr>
          <w:sz w:val="21"/>
          <w:szCs w:val="21"/>
        </w:rPr>
        <w:t xml:space="preserve"> building staff capability or developing organisation</w:t>
      </w:r>
      <w:r w:rsidR="00281CE5">
        <w:rPr>
          <w:sz w:val="21"/>
          <w:szCs w:val="21"/>
        </w:rPr>
        <w:t>al</w:t>
      </w:r>
      <w:r w:rsidR="00A16D68">
        <w:rPr>
          <w:sz w:val="21"/>
          <w:szCs w:val="21"/>
        </w:rPr>
        <w:t xml:space="preserve"> capacity</w:t>
      </w:r>
      <w:r w:rsidR="005B5D6C">
        <w:rPr>
          <w:sz w:val="21"/>
          <w:szCs w:val="21"/>
        </w:rPr>
        <w:t xml:space="preserve"> and systems to support scal</w:t>
      </w:r>
      <w:r w:rsidR="003545FD">
        <w:rPr>
          <w:sz w:val="21"/>
          <w:szCs w:val="21"/>
        </w:rPr>
        <w:t>ing of the initiative</w:t>
      </w:r>
      <w:r w:rsidR="00D020A2">
        <w:rPr>
          <w:sz w:val="21"/>
          <w:szCs w:val="21"/>
        </w:rPr>
        <w:t>.</w:t>
      </w:r>
      <w:r w:rsidR="005B5D6C">
        <w:rPr>
          <w:sz w:val="21"/>
          <w:szCs w:val="21"/>
        </w:rPr>
        <w:t xml:space="preserve"> </w:t>
      </w:r>
      <w:r w:rsidR="00A16D68">
        <w:rPr>
          <w:sz w:val="21"/>
          <w:szCs w:val="21"/>
        </w:rPr>
        <w:t>This pathway offers a higher level of con</w:t>
      </w:r>
      <w:r w:rsidR="00CD6382">
        <w:rPr>
          <w:sz w:val="21"/>
          <w:szCs w:val="21"/>
        </w:rPr>
        <w:t xml:space="preserve">trol, as effort is generally planned and managed by the organisation, rather than </w:t>
      </w:r>
      <w:r w:rsidR="00C51319">
        <w:rPr>
          <w:sz w:val="21"/>
          <w:szCs w:val="21"/>
        </w:rPr>
        <w:t>individuals</w:t>
      </w:r>
      <w:r w:rsidR="00CD6382">
        <w:rPr>
          <w:sz w:val="21"/>
          <w:szCs w:val="21"/>
        </w:rPr>
        <w:t xml:space="preserve"> outside</w:t>
      </w:r>
      <w:r w:rsidR="00C51319">
        <w:rPr>
          <w:sz w:val="21"/>
          <w:szCs w:val="21"/>
        </w:rPr>
        <w:t xml:space="preserve"> the organisation</w:t>
      </w:r>
      <w:r w:rsidR="00CD6382">
        <w:rPr>
          <w:sz w:val="21"/>
          <w:szCs w:val="21"/>
        </w:rPr>
        <w:t>.</w:t>
      </w:r>
    </w:p>
    <w:p w:rsidR="00CD6382" w:rsidRPr="00E66685" w:rsidRDefault="00CD6382" w:rsidP="00CD6382">
      <w:pPr>
        <w:ind w:left="-491"/>
        <w:rPr>
          <w:sz w:val="21"/>
          <w:szCs w:val="21"/>
        </w:rPr>
      </w:pPr>
    </w:p>
    <w:p w:rsidR="004B0024" w:rsidRDefault="00A16D68" w:rsidP="004B0024">
      <w:pPr>
        <w:numPr>
          <w:ilvl w:val="0"/>
          <w:numId w:val="13"/>
        </w:numPr>
        <w:rPr>
          <w:b/>
          <w:color w:val="B01EE6"/>
          <w:sz w:val="22"/>
          <w:szCs w:val="22"/>
        </w:rPr>
      </w:pPr>
      <w:r>
        <w:rPr>
          <w:b/>
          <w:color w:val="B01EE6"/>
          <w:sz w:val="22"/>
          <w:szCs w:val="22"/>
        </w:rPr>
        <w:t>Collaboration and partnerships</w:t>
      </w:r>
    </w:p>
    <w:p w:rsidR="00A16D68" w:rsidRDefault="00A16D68" w:rsidP="00E66685">
      <w:pPr>
        <w:ind w:left="-491"/>
        <w:rPr>
          <w:sz w:val="21"/>
          <w:szCs w:val="21"/>
        </w:rPr>
      </w:pPr>
      <w:r>
        <w:rPr>
          <w:sz w:val="21"/>
          <w:szCs w:val="21"/>
        </w:rPr>
        <w:t xml:space="preserve">This pathway involves </w:t>
      </w:r>
      <w:r w:rsidR="00CD6382">
        <w:rPr>
          <w:sz w:val="21"/>
          <w:szCs w:val="21"/>
        </w:rPr>
        <w:t xml:space="preserve">collaborating, </w:t>
      </w:r>
      <w:r>
        <w:rPr>
          <w:sz w:val="21"/>
          <w:szCs w:val="21"/>
        </w:rPr>
        <w:t xml:space="preserve">forming alliances or </w:t>
      </w:r>
      <w:r w:rsidR="00CD6382">
        <w:rPr>
          <w:sz w:val="21"/>
          <w:szCs w:val="21"/>
        </w:rPr>
        <w:t xml:space="preserve">partnering </w:t>
      </w:r>
      <w:r>
        <w:rPr>
          <w:sz w:val="21"/>
          <w:szCs w:val="21"/>
        </w:rPr>
        <w:t>with other organisations, individuals or interested groups to support scaling. Collabora</w:t>
      </w:r>
      <w:r w:rsidR="00EF14C8">
        <w:rPr>
          <w:sz w:val="21"/>
          <w:szCs w:val="21"/>
        </w:rPr>
        <w:t>ting</w:t>
      </w:r>
      <w:r>
        <w:rPr>
          <w:sz w:val="21"/>
          <w:szCs w:val="21"/>
        </w:rPr>
        <w:t xml:space="preserve"> and partnering </w:t>
      </w:r>
      <w:r w:rsidR="00C51319">
        <w:rPr>
          <w:sz w:val="21"/>
          <w:szCs w:val="21"/>
        </w:rPr>
        <w:t xml:space="preserve">can </w:t>
      </w:r>
      <w:r>
        <w:rPr>
          <w:sz w:val="21"/>
          <w:szCs w:val="21"/>
        </w:rPr>
        <w:t>facilitate access to</w:t>
      </w:r>
      <w:r w:rsidR="00CD6382">
        <w:rPr>
          <w:sz w:val="21"/>
          <w:szCs w:val="21"/>
        </w:rPr>
        <w:t xml:space="preserve"> another organisation’s</w:t>
      </w:r>
      <w:r>
        <w:rPr>
          <w:sz w:val="21"/>
          <w:szCs w:val="21"/>
        </w:rPr>
        <w:t xml:space="preserve"> existing service infrastructure or skilled staff</w:t>
      </w:r>
      <w:r w:rsidR="00CD6382">
        <w:rPr>
          <w:sz w:val="21"/>
          <w:szCs w:val="21"/>
        </w:rPr>
        <w:t xml:space="preserve"> that </w:t>
      </w:r>
      <w:r w:rsidR="00C8757C">
        <w:rPr>
          <w:sz w:val="21"/>
          <w:szCs w:val="21"/>
        </w:rPr>
        <w:t>may be</w:t>
      </w:r>
      <w:r>
        <w:rPr>
          <w:sz w:val="21"/>
          <w:szCs w:val="21"/>
        </w:rPr>
        <w:t xml:space="preserve"> necessary to scale </w:t>
      </w:r>
      <w:r w:rsidR="00CD6382">
        <w:rPr>
          <w:sz w:val="21"/>
          <w:szCs w:val="21"/>
        </w:rPr>
        <w:t>an</w:t>
      </w:r>
      <w:r>
        <w:rPr>
          <w:sz w:val="21"/>
          <w:szCs w:val="21"/>
        </w:rPr>
        <w:t xml:space="preserve"> initiative. </w:t>
      </w:r>
      <w:r w:rsidR="00CD6382">
        <w:rPr>
          <w:sz w:val="21"/>
          <w:szCs w:val="21"/>
        </w:rPr>
        <w:t xml:space="preserve">This pathway can help create a shared understanding of the initiative, but can require investment of time to facilitate </w:t>
      </w:r>
      <w:r w:rsidR="001010DD">
        <w:rPr>
          <w:sz w:val="21"/>
          <w:szCs w:val="21"/>
        </w:rPr>
        <w:t xml:space="preserve">consistent </w:t>
      </w:r>
      <w:r w:rsidR="00CD6382">
        <w:rPr>
          <w:sz w:val="21"/>
          <w:szCs w:val="21"/>
        </w:rPr>
        <w:t>communication and collaboration.</w:t>
      </w:r>
    </w:p>
    <w:p w:rsidR="00A16D68" w:rsidRDefault="00A16D68" w:rsidP="00E66685">
      <w:pPr>
        <w:ind w:left="-491"/>
        <w:rPr>
          <w:sz w:val="21"/>
          <w:szCs w:val="21"/>
        </w:rPr>
      </w:pPr>
    </w:p>
    <w:p w:rsidR="000F0F87" w:rsidRDefault="000F0F87" w:rsidP="00E66685">
      <w:pPr>
        <w:ind w:left="-491"/>
        <w:rPr>
          <w:sz w:val="21"/>
          <w:szCs w:val="21"/>
        </w:rPr>
      </w:pPr>
    </w:p>
    <w:p w:rsidR="000F0F87" w:rsidRDefault="000F0F87" w:rsidP="00E66685">
      <w:pPr>
        <w:ind w:left="-491"/>
        <w:rPr>
          <w:sz w:val="21"/>
          <w:szCs w:val="21"/>
        </w:rPr>
      </w:pPr>
    </w:p>
    <w:p w:rsidR="001010DD" w:rsidRPr="00E66685" w:rsidRDefault="001010DD" w:rsidP="000F0F87">
      <w:pPr>
        <w:numPr>
          <w:ilvl w:val="0"/>
          <w:numId w:val="13"/>
        </w:numPr>
        <w:ind w:left="426" w:hanging="426"/>
        <w:rPr>
          <w:b/>
          <w:color w:val="B01EE6"/>
          <w:sz w:val="22"/>
          <w:szCs w:val="22"/>
        </w:rPr>
      </w:pPr>
      <w:r w:rsidRPr="00E66685">
        <w:rPr>
          <w:b/>
          <w:color w:val="B01EE6"/>
          <w:sz w:val="22"/>
          <w:szCs w:val="22"/>
        </w:rPr>
        <w:t>Network</w:t>
      </w:r>
      <w:r>
        <w:rPr>
          <w:b/>
          <w:color w:val="B01EE6"/>
          <w:sz w:val="22"/>
          <w:szCs w:val="22"/>
        </w:rPr>
        <w:t>s</w:t>
      </w:r>
    </w:p>
    <w:p w:rsidR="001010DD" w:rsidRDefault="001010DD" w:rsidP="000F0F87">
      <w:pPr>
        <w:ind w:left="426"/>
        <w:rPr>
          <w:sz w:val="21"/>
          <w:szCs w:val="21"/>
        </w:rPr>
      </w:pPr>
      <w:r>
        <w:rPr>
          <w:sz w:val="21"/>
          <w:szCs w:val="21"/>
        </w:rPr>
        <w:t xml:space="preserve">Networks or clusters bring interested people or organisations together and facilitate connections, sharing of good practice and transferring knowledge </w:t>
      </w:r>
      <w:r w:rsidR="00C8757C">
        <w:rPr>
          <w:sz w:val="21"/>
          <w:szCs w:val="21"/>
        </w:rPr>
        <w:t>with</w:t>
      </w:r>
      <w:r w:rsidR="000F0F87">
        <w:rPr>
          <w:sz w:val="21"/>
          <w:szCs w:val="21"/>
        </w:rPr>
        <w:t xml:space="preserve"> </w:t>
      </w:r>
      <w:r w:rsidR="00C8757C">
        <w:rPr>
          <w:sz w:val="21"/>
          <w:szCs w:val="21"/>
        </w:rPr>
        <w:t>the aim of</w:t>
      </w:r>
      <w:r>
        <w:rPr>
          <w:sz w:val="21"/>
          <w:szCs w:val="21"/>
        </w:rPr>
        <w:t xml:space="preserve"> support</w:t>
      </w:r>
      <w:r w:rsidR="00C8757C">
        <w:rPr>
          <w:sz w:val="21"/>
          <w:szCs w:val="21"/>
        </w:rPr>
        <w:t>ing</w:t>
      </w:r>
      <w:r>
        <w:rPr>
          <w:sz w:val="21"/>
          <w:szCs w:val="21"/>
        </w:rPr>
        <w:t xml:space="preserve"> implementation elsewhere. This pathway can be used to generate momentum at the service delivery level.</w:t>
      </w:r>
    </w:p>
    <w:p w:rsidR="000F0F87" w:rsidRDefault="000F0F87" w:rsidP="001010DD">
      <w:pPr>
        <w:rPr>
          <w:b/>
          <w:color w:val="B01EE6"/>
          <w:sz w:val="32"/>
          <w:szCs w:val="32"/>
        </w:rPr>
      </w:pPr>
    </w:p>
    <w:p w:rsidR="00E46608" w:rsidRPr="001010DD" w:rsidRDefault="000D57D5" w:rsidP="001010DD">
      <w:pPr>
        <w:rPr>
          <w:sz w:val="21"/>
          <w:szCs w:val="21"/>
        </w:rPr>
      </w:pPr>
      <w:r w:rsidRPr="000D57D5">
        <w:rPr>
          <w:b/>
          <w:color w:val="B01EE6"/>
          <w:sz w:val="32"/>
          <w:szCs w:val="32"/>
        </w:rPr>
        <w:t xml:space="preserve">Understanding the levels </w:t>
      </w:r>
    </w:p>
    <w:p w:rsidR="000D57D5" w:rsidRPr="000F0F87" w:rsidRDefault="000D57D5" w:rsidP="006E17E6">
      <w:pPr>
        <w:rPr>
          <w:b/>
          <w:sz w:val="20"/>
        </w:rPr>
      </w:pPr>
    </w:p>
    <w:p w:rsidR="000D57D5" w:rsidRPr="009A34E2" w:rsidRDefault="00FE000C" w:rsidP="009A34E2">
      <w:pPr>
        <w:rPr>
          <w:b/>
          <w:color w:val="B01EE6"/>
          <w:sz w:val="22"/>
          <w:szCs w:val="22"/>
        </w:rPr>
      </w:pPr>
      <w:r>
        <w:rPr>
          <w:b/>
          <w:color w:val="B01EE6"/>
          <w:sz w:val="22"/>
          <w:szCs w:val="22"/>
        </w:rPr>
        <w:t>Unknown – level one</w:t>
      </w:r>
    </w:p>
    <w:p w:rsidR="000D57D5" w:rsidRDefault="009A34E2" w:rsidP="00C51319">
      <w:pPr>
        <w:rPr>
          <w:sz w:val="21"/>
          <w:szCs w:val="21"/>
        </w:rPr>
      </w:pPr>
      <w:r>
        <w:rPr>
          <w:sz w:val="21"/>
          <w:szCs w:val="21"/>
        </w:rPr>
        <w:t>At this level,</w:t>
      </w:r>
      <w:r w:rsidR="00713F02" w:rsidRPr="001C6D7E">
        <w:rPr>
          <w:sz w:val="21"/>
          <w:szCs w:val="21"/>
        </w:rPr>
        <w:t xml:space="preserve"> no assessment about scale can be made </w:t>
      </w:r>
      <w:r>
        <w:rPr>
          <w:sz w:val="21"/>
          <w:szCs w:val="21"/>
        </w:rPr>
        <w:t xml:space="preserve">due to limited information on how the initiative has been implemented in any setting. </w:t>
      </w:r>
    </w:p>
    <w:p w:rsidR="009A34E2" w:rsidRPr="001C6D7E" w:rsidRDefault="009A34E2" w:rsidP="00C51319">
      <w:pPr>
        <w:rPr>
          <w:b/>
          <w:sz w:val="21"/>
          <w:szCs w:val="21"/>
        </w:rPr>
      </w:pPr>
    </w:p>
    <w:p w:rsidR="000D57D5" w:rsidRPr="009A34E2" w:rsidRDefault="00FE000C" w:rsidP="00C51319">
      <w:pPr>
        <w:rPr>
          <w:b/>
          <w:color w:val="B01EE6"/>
          <w:sz w:val="22"/>
          <w:szCs w:val="22"/>
        </w:rPr>
      </w:pPr>
      <w:r>
        <w:rPr>
          <w:b/>
          <w:color w:val="B01EE6"/>
          <w:sz w:val="22"/>
          <w:szCs w:val="22"/>
        </w:rPr>
        <w:t>Could work – level two</w:t>
      </w:r>
    </w:p>
    <w:p w:rsidR="00713F02" w:rsidRPr="001C6D7E" w:rsidRDefault="009A34E2" w:rsidP="00C51319">
      <w:pPr>
        <w:pStyle w:val="BlockText"/>
        <w:spacing w:after="0" w:line="240" w:lineRule="auto"/>
        <w:ind w:right="0"/>
        <w:rPr>
          <w:sz w:val="21"/>
          <w:szCs w:val="21"/>
        </w:rPr>
      </w:pPr>
      <w:r>
        <w:rPr>
          <w:sz w:val="21"/>
          <w:szCs w:val="21"/>
        </w:rPr>
        <w:t>There is documentation detailing the implementation of the initiative in one setting</w:t>
      </w:r>
      <w:r w:rsidR="00C8757C">
        <w:rPr>
          <w:sz w:val="21"/>
          <w:szCs w:val="21"/>
        </w:rPr>
        <w:t xml:space="preserve"> but with some details missing. For example, </w:t>
      </w:r>
      <w:r w:rsidR="003D21AE">
        <w:rPr>
          <w:sz w:val="21"/>
          <w:szCs w:val="21"/>
        </w:rPr>
        <w:t xml:space="preserve">details on </w:t>
      </w:r>
      <w:r w:rsidR="00C8757C">
        <w:rPr>
          <w:sz w:val="21"/>
          <w:szCs w:val="21"/>
        </w:rPr>
        <w:t>what facilitat</w:t>
      </w:r>
      <w:r w:rsidR="003D21AE">
        <w:rPr>
          <w:sz w:val="21"/>
          <w:szCs w:val="21"/>
        </w:rPr>
        <w:t>or</w:t>
      </w:r>
      <w:r w:rsidR="00C8757C">
        <w:rPr>
          <w:sz w:val="21"/>
          <w:szCs w:val="21"/>
        </w:rPr>
        <w:t xml:space="preserve"> training</w:t>
      </w:r>
      <w:r w:rsidR="003D21AE">
        <w:rPr>
          <w:sz w:val="21"/>
          <w:szCs w:val="21"/>
        </w:rPr>
        <w:t xml:space="preserve"> entailed, or who provided it, may be missing</w:t>
      </w:r>
      <w:r>
        <w:rPr>
          <w:sz w:val="21"/>
          <w:szCs w:val="21"/>
        </w:rPr>
        <w:t xml:space="preserve">. </w:t>
      </w:r>
    </w:p>
    <w:p w:rsidR="00C51319" w:rsidRDefault="00C51319" w:rsidP="00C51319">
      <w:pPr>
        <w:rPr>
          <w:b/>
          <w:sz w:val="22"/>
          <w:szCs w:val="22"/>
        </w:rPr>
      </w:pPr>
    </w:p>
    <w:p w:rsidR="000D57D5" w:rsidRPr="009A34E2" w:rsidRDefault="00FE000C" w:rsidP="00C51319">
      <w:pPr>
        <w:rPr>
          <w:b/>
          <w:color w:val="B01EE6"/>
          <w:sz w:val="22"/>
          <w:szCs w:val="22"/>
        </w:rPr>
      </w:pPr>
      <w:r>
        <w:rPr>
          <w:b/>
          <w:color w:val="B01EE6"/>
          <w:sz w:val="22"/>
          <w:szCs w:val="22"/>
        </w:rPr>
        <w:t>Well-documented – level three</w:t>
      </w:r>
    </w:p>
    <w:p w:rsidR="000D57D5" w:rsidRPr="00A440FC" w:rsidRDefault="00466BB8" w:rsidP="00C51319">
      <w:pPr>
        <w:pStyle w:val="BlockText"/>
        <w:spacing w:after="0" w:line="240" w:lineRule="auto"/>
        <w:ind w:right="0"/>
        <w:rPr>
          <w:sz w:val="21"/>
          <w:szCs w:val="21"/>
        </w:rPr>
      </w:pPr>
      <w:r>
        <w:rPr>
          <w:sz w:val="21"/>
          <w:szCs w:val="21"/>
        </w:rPr>
        <w:t xml:space="preserve">The model of implementation includes manuals, professional support materials or codified processes and procedures for delivery necessary to support implementation of the initiative. </w:t>
      </w:r>
    </w:p>
    <w:p w:rsidR="00C51319" w:rsidRDefault="00C51319" w:rsidP="00C51319">
      <w:pPr>
        <w:rPr>
          <w:b/>
          <w:sz w:val="21"/>
          <w:szCs w:val="21"/>
        </w:rPr>
      </w:pPr>
    </w:p>
    <w:p w:rsidR="000D57D5" w:rsidRPr="009A34E2" w:rsidRDefault="00FE000C" w:rsidP="00C51319">
      <w:pPr>
        <w:rPr>
          <w:b/>
          <w:color w:val="B01EE6"/>
          <w:sz w:val="22"/>
          <w:szCs w:val="22"/>
        </w:rPr>
      </w:pPr>
      <w:r>
        <w:rPr>
          <w:b/>
          <w:color w:val="B01EE6"/>
          <w:sz w:val="22"/>
          <w:szCs w:val="22"/>
        </w:rPr>
        <w:t>Implemented elsewhere – level four</w:t>
      </w:r>
    </w:p>
    <w:p w:rsidR="000D57D5" w:rsidRPr="001C6D7E" w:rsidRDefault="00466BB8" w:rsidP="00C51319">
      <w:pPr>
        <w:pStyle w:val="BlockText"/>
        <w:spacing w:after="0" w:line="240" w:lineRule="auto"/>
        <w:ind w:right="0"/>
        <w:rPr>
          <w:sz w:val="21"/>
          <w:szCs w:val="21"/>
        </w:rPr>
      </w:pPr>
      <w:r>
        <w:rPr>
          <w:sz w:val="21"/>
          <w:szCs w:val="21"/>
        </w:rPr>
        <w:t xml:space="preserve">Evidence supports the model of implementation clearly demonstrating that the initiative has been implemented in more than one setting or with different groups achieving the same impact or better. </w:t>
      </w:r>
    </w:p>
    <w:p w:rsidR="00C51319" w:rsidRDefault="00C51319" w:rsidP="00C51319">
      <w:pPr>
        <w:rPr>
          <w:b/>
          <w:sz w:val="22"/>
          <w:szCs w:val="22"/>
        </w:rPr>
      </w:pPr>
    </w:p>
    <w:p w:rsidR="000D57D5" w:rsidRPr="009A34E2" w:rsidRDefault="000D57D5" w:rsidP="00C51319">
      <w:pPr>
        <w:rPr>
          <w:b/>
          <w:color w:val="B01EE6"/>
          <w:sz w:val="22"/>
          <w:szCs w:val="22"/>
        </w:rPr>
      </w:pPr>
      <w:r w:rsidRPr="009A34E2">
        <w:rPr>
          <w:b/>
          <w:color w:val="B01EE6"/>
          <w:sz w:val="22"/>
          <w:szCs w:val="22"/>
        </w:rPr>
        <w:t>Large</w:t>
      </w:r>
      <w:r w:rsidR="00FE000C">
        <w:rPr>
          <w:b/>
          <w:color w:val="B01EE6"/>
          <w:sz w:val="22"/>
          <w:szCs w:val="22"/>
        </w:rPr>
        <w:t>r scale implementation – level five</w:t>
      </w:r>
    </w:p>
    <w:p w:rsidR="00713F02" w:rsidRDefault="00466BB8" w:rsidP="000F0F87">
      <w:pPr>
        <w:pStyle w:val="BlockText"/>
        <w:spacing w:after="0" w:line="240" w:lineRule="auto"/>
        <w:ind w:right="0"/>
        <w:rPr>
          <w:sz w:val="21"/>
          <w:szCs w:val="21"/>
        </w:rPr>
      </w:pPr>
      <w:r>
        <w:rPr>
          <w:sz w:val="21"/>
          <w:szCs w:val="21"/>
        </w:rPr>
        <w:t xml:space="preserve">An </w:t>
      </w:r>
      <w:r w:rsidR="001C6D7E">
        <w:rPr>
          <w:sz w:val="21"/>
          <w:szCs w:val="21"/>
        </w:rPr>
        <w:t>independent source or sources verifies evidence demonstrating the initiative works on a larger scale, either with other groups or in other settings, achieving at least the same impact</w:t>
      </w:r>
      <w:r>
        <w:rPr>
          <w:sz w:val="21"/>
          <w:szCs w:val="21"/>
        </w:rPr>
        <w:t>.</w:t>
      </w:r>
    </w:p>
    <w:p w:rsidR="000F0F87" w:rsidRDefault="000F0F87" w:rsidP="000F0F87">
      <w:pPr>
        <w:pStyle w:val="BlockText"/>
        <w:spacing w:after="0" w:line="240" w:lineRule="auto"/>
        <w:ind w:right="0"/>
        <w:rPr>
          <w:sz w:val="21"/>
          <w:szCs w:val="21"/>
        </w:rPr>
      </w:pPr>
    </w:p>
    <w:sectPr w:rsidR="000F0F87" w:rsidSect="002D0E5D">
      <w:footerReference w:type="first" r:id="rId17"/>
      <w:type w:val="continuous"/>
      <w:pgSz w:w="16838" w:h="11906" w:orient="landscape" w:code="9"/>
      <w:pgMar w:top="1440" w:right="1440" w:bottom="568" w:left="1440" w:header="709" w:footer="288" w:gutter="0"/>
      <w:cols w:num="2" w:space="130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73" w:rsidRDefault="00D21673">
      <w:r>
        <w:separator/>
      </w:r>
    </w:p>
  </w:endnote>
  <w:endnote w:type="continuationSeparator" w:id="0">
    <w:p w:rsidR="00D21673" w:rsidRDefault="00D2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2B" w:rsidRDefault="00C8757C">
    <w:pPr>
      <w:pStyle w:val="Footer"/>
    </w:pPr>
    <w:r>
      <w:rPr>
        <w:noProof/>
        <w:lang w:eastAsia="zh-CN"/>
      </w:rPr>
      <w:drawing>
        <wp:anchor distT="0" distB="0" distL="114300" distR="114300" simplePos="0" relativeHeight="251659264" behindDoc="1" locked="0" layoutInCell="1" allowOverlap="1" wp14:anchorId="25AA5F5C" wp14:editId="14191076">
          <wp:simplePos x="0" y="0"/>
          <wp:positionH relativeFrom="column">
            <wp:posOffset>-914400</wp:posOffset>
          </wp:positionH>
          <wp:positionV relativeFrom="paragraph">
            <wp:posOffset>-486410</wp:posOffset>
          </wp:positionV>
          <wp:extent cx="10696575" cy="1114425"/>
          <wp:effectExtent l="0" t="0" r="9525" b="9525"/>
          <wp:wrapNone/>
          <wp:docPr id="34" name="Picture 34" descr="eval template-A4-landscap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val template-A4-landscap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1114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E2" w:rsidRDefault="00C8757C" w:rsidP="009A34E2">
    <w:pPr>
      <w:pStyle w:val="Footer"/>
      <w:ind w:left="-851"/>
      <w:rPr>
        <w:sz w:val="20"/>
      </w:rPr>
    </w:pPr>
    <w:r>
      <w:rPr>
        <w:i/>
        <w:noProof/>
        <w:lang w:eastAsia="zh-CN"/>
      </w:rPr>
      <w:drawing>
        <wp:anchor distT="0" distB="0" distL="114300" distR="114300" simplePos="0" relativeHeight="251657216" behindDoc="1" locked="0" layoutInCell="1" allowOverlap="1" wp14:anchorId="4E0927E7" wp14:editId="504CB005">
          <wp:simplePos x="0" y="0"/>
          <wp:positionH relativeFrom="column">
            <wp:posOffset>-933450</wp:posOffset>
          </wp:positionH>
          <wp:positionV relativeFrom="paragraph">
            <wp:posOffset>-528955</wp:posOffset>
          </wp:positionV>
          <wp:extent cx="10692130" cy="1116330"/>
          <wp:effectExtent l="0" t="0" r="0" b="7620"/>
          <wp:wrapNone/>
          <wp:docPr id="32" name="Picture 32" descr="eval template-A4-landscap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val template-A4-landscap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116330"/>
                  </a:xfrm>
                  <a:prstGeom prst="rect">
                    <a:avLst/>
                  </a:prstGeom>
                  <a:noFill/>
                </pic:spPr>
              </pic:pic>
            </a:graphicData>
          </a:graphic>
          <wp14:sizeRelH relativeFrom="page">
            <wp14:pctWidth>0</wp14:pctWidth>
          </wp14:sizeRelH>
          <wp14:sizeRelV relativeFrom="page">
            <wp14:pctHeight>0</wp14:pctHeight>
          </wp14:sizeRelV>
        </wp:anchor>
      </w:drawing>
    </w:r>
    <w:r w:rsidR="003F3F48">
      <w:rPr>
        <w:i/>
        <w:sz w:val="20"/>
      </w:rPr>
      <w:t>Understanding the s</w:t>
    </w:r>
    <w:r w:rsidR="00661741">
      <w:rPr>
        <w:i/>
        <w:sz w:val="20"/>
      </w:rPr>
      <w:t xml:space="preserve">calability dimension </w:t>
    </w:r>
    <w:r w:rsidR="00661741">
      <w:rPr>
        <w:sz w:val="20"/>
      </w:rPr>
      <w:t xml:space="preserve">is </w:t>
    </w:r>
    <w:r w:rsidR="00BC3799">
      <w:rPr>
        <w:sz w:val="20"/>
      </w:rPr>
      <w:t xml:space="preserve">one </w:t>
    </w:r>
    <w:r w:rsidR="00661741">
      <w:rPr>
        <w:sz w:val="20"/>
      </w:rPr>
      <w:t xml:space="preserve">of a series of </w:t>
    </w:r>
    <w:r w:rsidR="001A5161">
      <w:rPr>
        <w:sz w:val="20"/>
      </w:rPr>
      <w:t xml:space="preserve">four </w:t>
    </w:r>
    <w:r w:rsidR="00661741">
      <w:rPr>
        <w:sz w:val="20"/>
      </w:rPr>
      <w:t>papers t</w:t>
    </w:r>
    <w:r w:rsidR="001A5161">
      <w:rPr>
        <w:sz w:val="20"/>
      </w:rPr>
      <w:t>o</w:t>
    </w:r>
    <w:r w:rsidR="00661741">
      <w:rPr>
        <w:sz w:val="20"/>
      </w:rPr>
      <w:t xml:space="preserve"> support </w:t>
    </w:r>
    <w:r w:rsidR="009D73F3">
      <w:rPr>
        <w:sz w:val="20"/>
      </w:rPr>
      <w:t xml:space="preserve">the </w:t>
    </w:r>
    <w:r w:rsidR="00661741">
      <w:rPr>
        <w:sz w:val="20"/>
      </w:rPr>
      <w:t>use of the</w:t>
    </w:r>
    <w:r w:rsidR="001A5161">
      <w:rPr>
        <w:sz w:val="20"/>
      </w:rPr>
      <w:t xml:space="preserve"> DET</w:t>
    </w:r>
    <w:r w:rsidR="00661741">
      <w:rPr>
        <w:sz w:val="20"/>
      </w:rPr>
      <w:t xml:space="preserve"> Standards of Evidence. </w:t>
    </w:r>
  </w:p>
  <w:p w:rsidR="00661741" w:rsidRDefault="00661741" w:rsidP="00661741">
    <w:pPr>
      <w:pStyle w:val="Footer"/>
      <w:ind w:left="-851"/>
      <w:rPr>
        <w:sz w:val="20"/>
      </w:rPr>
    </w:pPr>
  </w:p>
  <w:p w:rsidR="000D72D4" w:rsidRPr="000E538E" w:rsidRDefault="000E538E" w:rsidP="00EB78E7">
    <w:pPr>
      <w:pStyle w:val="Footer"/>
      <w:ind w:left="-851"/>
    </w:pPr>
    <w:r>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5C" w:rsidRDefault="00A62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73" w:rsidRDefault="00D21673">
      <w:r>
        <w:separator/>
      </w:r>
    </w:p>
  </w:footnote>
  <w:footnote w:type="continuationSeparator" w:id="0">
    <w:p w:rsidR="00D21673" w:rsidRDefault="00D21673">
      <w:r>
        <w:continuationSeparator/>
      </w:r>
    </w:p>
  </w:footnote>
  <w:footnote w:id="1">
    <w:p w:rsidR="004C653C" w:rsidRDefault="004C653C" w:rsidP="000F0F87">
      <w:pPr>
        <w:pStyle w:val="FootnoteText"/>
        <w:ind w:left="-851"/>
        <w:rPr>
          <w:i/>
        </w:rPr>
      </w:pPr>
      <w:r>
        <w:rPr>
          <w:rStyle w:val="FootnoteReference"/>
        </w:rPr>
        <w:footnoteRef/>
      </w:r>
      <w:r>
        <w:t xml:space="preserve"> </w:t>
      </w:r>
      <w:proofErr w:type="spellStart"/>
      <w:r>
        <w:t>Deacon</w:t>
      </w:r>
      <w:proofErr w:type="gramStart"/>
      <w:r>
        <w:t>,C</w:t>
      </w:r>
      <w:proofErr w:type="spellEnd"/>
      <w:proofErr w:type="gramEnd"/>
      <w:r>
        <w:t xml:space="preserve"> and Sellick, V (2016). </w:t>
      </w:r>
      <w:r w:rsidRPr="000516C5">
        <w:rPr>
          <w:i/>
        </w:rPr>
        <w:t xml:space="preserve">What does it take to go BIG? </w:t>
      </w:r>
      <w:proofErr w:type="gramStart"/>
      <w:r w:rsidRPr="000516C5">
        <w:rPr>
          <w:i/>
        </w:rPr>
        <w:t>Insights on scaling social innovation from the Centre for Social Action Innovation Fund.</w:t>
      </w:r>
      <w:proofErr w:type="gramEnd"/>
    </w:p>
    <w:p w:rsidR="004C653C" w:rsidRDefault="000516C5" w:rsidP="000F0F87">
      <w:pPr>
        <w:pStyle w:val="FootnoteText"/>
        <w:ind w:left="-851"/>
      </w:pPr>
      <w:r>
        <w:t xml:space="preserve">Retrieved from </w:t>
      </w:r>
      <w:hyperlink r:id="rId1" w:history="1">
        <w:r w:rsidRPr="00DC4B04">
          <w:rPr>
            <w:rStyle w:val="Hyperlink"/>
          </w:rPr>
          <w:t>http://www.nesta.org.uk/publications/what-does-it-take-go-big-insights-scaling-social-innovation</w:t>
        </w:r>
      </w:hyperlink>
      <w:r>
        <w:t xml:space="preserve"> </w:t>
      </w:r>
    </w:p>
  </w:footnote>
  <w:footnote w:id="2">
    <w:p w:rsidR="0049659B" w:rsidRDefault="0049659B" w:rsidP="000F0F87">
      <w:pPr>
        <w:pStyle w:val="FootnoteText"/>
        <w:ind w:left="-851"/>
        <w:rPr>
          <w:i/>
        </w:rPr>
      </w:pPr>
      <w:r>
        <w:rPr>
          <w:rStyle w:val="FootnoteReference"/>
        </w:rPr>
        <w:footnoteRef/>
      </w:r>
      <w:r>
        <w:t xml:space="preserve"> </w:t>
      </w:r>
      <w:proofErr w:type="gramStart"/>
      <w:r>
        <w:t>Deacon, C and Sellick, V (2016).</w:t>
      </w:r>
      <w:proofErr w:type="gramEnd"/>
      <w:r>
        <w:t xml:space="preserve"> </w:t>
      </w:r>
      <w:r>
        <w:rPr>
          <w:i/>
        </w:rPr>
        <w:t xml:space="preserve">What does it take to go BIG? </w:t>
      </w:r>
      <w:proofErr w:type="gramStart"/>
      <w:r>
        <w:rPr>
          <w:i/>
        </w:rPr>
        <w:t>Insights on scaling social innovation from the Centre for Social Action Innovation Fund.</w:t>
      </w:r>
      <w:proofErr w:type="gramEnd"/>
    </w:p>
    <w:p w:rsidR="0049659B" w:rsidRPr="0049659B" w:rsidRDefault="00E93B9C" w:rsidP="000F0F87">
      <w:pPr>
        <w:pStyle w:val="FootnoteText"/>
        <w:ind w:left="-851"/>
      </w:pPr>
      <w:r>
        <w:t xml:space="preserve">Retrieved from </w:t>
      </w:r>
      <w:hyperlink r:id="rId2" w:history="1">
        <w:r w:rsidRPr="00DC4B04">
          <w:rPr>
            <w:rStyle w:val="Hyperlink"/>
          </w:rPr>
          <w:t>http://www.nesta.org.uk/publications/what-does-it-take-go-big-insights-scaling-social-innovation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25" w:rsidRDefault="00C8757C">
    <w:pPr>
      <w:pStyle w:val="Header"/>
    </w:pPr>
    <w:r>
      <w:rPr>
        <w:noProof/>
        <w:lang w:eastAsia="zh-CN"/>
      </w:rPr>
      <w:drawing>
        <wp:anchor distT="0" distB="0" distL="114300" distR="114300" simplePos="0" relativeHeight="251658240" behindDoc="1" locked="0" layoutInCell="1" allowOverlap="1" wp14:anchorId="29CFA5CC" wp14:editId="1E184F64">
          <wp:simplePos x="0" y="0"/>
          <wp:positionH relativeFrom="column">
            <wp:posOffset>-988060</wp:posOffset>
          </wp:positionH>
          <wp:positionV relativeFrom="paragraph">
            <wp:posOffset>-449580</wp:posOffset>
          </wp:positionV>
          <wp:extent cx="10692130" cy="1150620"/>
          <wp:effectExtent l="0" t="0" r="0" b="0"/>
          <wp:wrapNone/>
          <wp:docPr id="33" name="Picture 33" descr="eval template-A4-landscape-header-no-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al template-A4-landscape-header-no-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150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15" w:rsidRDefault="00C8757C" w:rsidP="0030460D">
    <w:pPr>
      <w:pStyle w:val="Header"/>
      <w:tabs>
        <w:tab w:val="left" w:pos="3180"/>
      </w:tabs>
    </w:pPr>
    <w:r>
      <w:rPr>
        <w:noProof/>
        <w:lang w:eastAsia="zh-CN"/>
      </w:rPr>
      <w:drawing>
        <wp:anchor distT="0" distB="0" distL="114300" distR="114300" simplePos="0" relativeHeight="251662336" behindDoc="1" locked="0" layoutInCell="1" allowOverlap="1" wp14:anchorId="20992FA6" wp14:editId="2FC5B04C">
          <wp:simplePos x="0" y="0"/>
          <wp:positionH relativeFrom="column">
            <wp:posOffset>-1106805</wp:posOffset>
          </wp:positionH>
          <wp:positionV relativeFrom="paragraph">
            <wp:posOffset>-584200</wp:posOffset>
          </wp:positionV>
          <wp:extent cx="10692130" cy="1150620"/>
          <wp:effectExtent l="0" t="0" r="0" b="0"/>
          <wp:wrapNone/>
          <wp:docPr id="36" name="Picture 36" descr="eval template-A4-landscape-header-no-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val template-A4-landscape-header-no-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150620"/>
                  </a:xfrm>
                  <a:prstGeom prst="rect">
                    <a:avLst/>
                  </a:prstGeom>
                  <a:noFill/>
                </pic:spPr>
              </pic:pic>
            </a:graphicData>
          </a:graphic>
          <wp14:sizeRelH relativeFrom="page">
            <wp14:pctWidth>0</wp14:pctWidth>
          </wp14:sizeRelH>
          <wp14:sizeRelV relativeFrom="page">
            <wp14:pctHeight>0</wp14:pctHeight>
          </wp14:sizeRelV>
        </wp:anchor>
      </w:drawing>
    </w:r>
    <w:r w:rsidR="003046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4DEB580"/>
    <w:lvl w:ilvl="0">
      <w:start w:val="1"/>
      <w:numFmt w:val="bullet"/>
      <w:pStyle w:val="ListBullet3"/>
      <w:lvlText w:val="−"/>
      <w:lvlJc w:val="left"/>
      <w:pPr>
        <w:ind w:left="926" w:hanging="360"/>
      </w:pPr>
      <w:rPr>
        <w:rFonts w:ascii="Calibri" w:hAnsi="Calibri" w:hint="default"/>
      </w:rPr>
    </w:lvl>
  </w:abstractNum>
  <w:abstractNum w:abstractNumId="1">
    <w:nsid w:val="FFFFFF83"/>
    <w:multiLevelType w:val="singleLevel"/>
    <w:tmpl w:val="6890D124"/>
    <w:lvl w:ilvl="0">
      <w:start w:val="1"/>
      <w:numFmt w:val="bullet"/>
      <w:lvlText w:val="o"/>
      <w:lvlJc w:val="left"/>
      <w:pPr>
        <w:ind w:left="644" w:hanging="360"/>
      </w:pPr>
      <w:rPr>
        <w:rFonts w:ascii="Courier New" w:hAnsi="Courier New" w:cs="Courier New" w:hint="default"/>
      </w:rPr>
    </w:lvl>
  </w:abstractNum>
  <w:abstractNum w:abstractNumId="2">
    <w:nsid w:val="FFFFFF89"/>
    <w:multiLevelType w:val="singleLevel"/>
    <w:tmpl w:val="C88AF86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CA373C"/>
    <w:multiLevelType w:val="hybridMultilevel"/>
    <w:tmpl w:val="90E88C2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nsid w:val="17956C12"/>
    <w:multiLevelType w:val="hybridMultilevel"/>
    <w:tmpl w:val="77DA41B8"/>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nsid w:val="28494504"/>
    <w:multiLevelType w:val="hybridMultilevel"/>
    <w:tmpl w:val="D0BC70A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28806086"/>
    <w:multiLevelType w:val="hybridMultilevel"/>
    <w:tmpl w:val="63949B5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nsid w:val="2BC25CE6"/>
    <w:multiLevelType w:val="hybridMultilevel"/>
    <w:tmpl w:val="40C2A544"/>
    <w:lvl w:ilvl="0" w:tplc="25A480B6">
      <w:start w:val="1"/>
      <w:numFmt w:val="bullet"/>
      <w:lvlText w:val="-"/>
      <w:lvlJc w:val="left"/>
      <w:pPr>
        <w:ind w:left="-491" w:hanging="360"/>
      </w:pPr>
      <w:rPr>
        <w:rFonts w:ascii="Arial" w:eastAsia="Times" w:hAnsi="Arial" w:cs="Arial"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8">
    <w:nsid w:val="2C78324D"/>
    <w:multiLevelType w:val="hybridMultilevel"/>
    <w:tmpl w:val="E71A538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31623AB6"/>
    <w:multiLevelType w:val="hybridMultilevel"/>
    <w:tmpl w:val="5C90681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0">
    <w:nsid w:val="41B63394"/>
    <w:multiLevelType w:val="hybridMultilevel"/>
    <w:tmpl w:val="E69CA010"/>
    <w:lvl w:ilvl="0" w:tplc="0C090001">
      <w:start w:val="1"/>
      <w:numFmt w:val="bullet"/>
      <w:lvlText w:val=""/>
      <w:lvlJc w:val="left"/>
      <w:pPr>
        <w:ind w:left="8116" w:hanging="360"/>
      </w:pPr>
      <w:rPr>
        <w:rFonts w:ascii="Symbol" w:hAnsi="Symbol" w:hint="default"/>
      </w:rPr>
    </w:lvl>
    <w:lvl w:ilvl="1" w:tplc="0C090003" w:tentative="1">
      <w:start w:val="1"/>
      <w:numFmt w:val="bullet"/>
      <w:lvlText w:val="o"/>
      <w:lvlJc w:val="left"/>
      <w:pPr>
        <w:ind w:left="8836" w:hanging="360"/>
      </w:pPr>
      <w:rPr>
        <w:rFonts w:ascii="Courier New" w:hAnsi="Courier New" w:cs="Courier New" w:hint="default"/>
      </w:rPr>
    </w:lvl>
    <w:lvl w:ilvl="2" w:tplc="0C090005" w:tentative="1">
      <w:start w:val="1"/>
      <w:numFmt w:val="bullet"/>
      <w:lvlText w:val=""/>
      <w:lvlJc w:val="left"/>
      <w:pPr>
        <w:ind w:left="9556" w:hanging="360"/>
      </w:pPr>
      <w:rPr>
        <w:rFonts w:ascii="Wingdings" w:hAnsi="Wingdings" w:hint="default"/>
      </w:rPr>
    </w:lvl>
    <w:lvl w:ilvl="3" w:tplc="0C090001" w:tentative="1">
      <w:start w:val="1"/>
      <w:numFmt w:val="bullet"/>
      <w:lvlText w:val=""/>
      <w:lvlJc w:val="left"/>
      <w:pPr>
        <w:ind w:left="10276" w:hanging="360"/>
      </w:pPr>
      <w:rPr>
        <w:rFonts w:ascii="Symbol" w:hAnsi="Symbol" w:hint="default"/>
      </w:rPr>
    </w:lvl>
    <w:lvl w:ilvl="4" w:tplc="0C090003" w:tentative="1">
      <w:start w:val="1"/>
      <w:numFmt w:val="bullet"/>
      <w:lvlText w:val="o"/>
      <w:lvlJc w:val="left"/>
      <w:pPr>
        <w:ind w:left="10996" w:hanging="360"/>
      </w:pPr>
      <w:rPr>
        <w:rFonts w:ascii="Courier New" w:hAnsi="Courier New" w:cs="Courier New" w:hint="default"/>
      </w:rPr>
    </w:lvl>
    <w:lvl w:ilvl="5" w:tplc="0C090005" w:tentative="1">
      <w:start w:val="1"/>
      <w:numFmt w:val="bullet"/>
      <w:lvlText w:val=""/>
      <w:lvlJc w:val="left"/>
      <w:pPr>
        <w:ind w:left="11716" w:hanging="360"/>
      </w:pPr>
      <w:rPr>
        <w:rFonts w:ascii="Wingdings" w:hAnsi="Wingdings" w:hint="default"/>
      </w:rPr>
    </w:lvl>
    <w:lvl w:ilvl="6" w:tplc="0C090001" w:tentative="1">
      <w:start w:val="1"/>
      <w:numFmt w:val="bullet"/>
      <w:lvlText w:val=""/>
      <w:lvlJc w:val="left"/>
      <w:pPr>
        <w:ind w:left="12436" w:hanging="360"/>
      </w:pPr>
      <w:rPr>
        <w:rFonts w:ascii="Symbol" w:hAnsi="Symbol" w:hint="default"/>
      </w:rPr>
    </w:lvl>
    <w:lvl w:ilvl="7" w:tplc="0C090003" w:tentative="1">
      <w:start w:val="1"/>
      <w:numFmt w:val="bullet"/>
      <w:lvlText w:val="o"/>
      <w:lvlJc w:val="left"/>
      <w:pPr>
        <w:ind w:left="13156" w:hanging="360"/>
      </w:pPr>
      <w:rPr>
        <w:rFonts w:ascii="Courier New" w:hAnsi="Courier New" w:cs="Courier New" w:hint="default"/>
      </w:rPr>
    </w:lvl>
    <w:lvl w:ilvl="8" w:tplc="0C090005" w:tentative="1">
      <w:start w:val="1"/>
      <w:numFmt w:val="bullet"/>
      <w:lvlText w:val=""/>
      <w:lvlJc w:val="left"/>
      <w:pPr>
        <w:ind w:left="13876" w:hanging="360"/>
      </w:pPr>
      <w:rPr>
        <w:rFonts w:ascii="Wingdings" w:hAnsi="Wingdings" w:hint="default"/>
      </w:rPr>
    </w:lvl>
  </w:abstractNum>
  <w:abstractNum w:abstractNumId="11">
    <w:nsid w:val="438E5F9A"/>
    <w:multiLevelType w:val="hybridMultilevel"/>
    <w:tmpl w:val="D36A12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6320C27"/>
    <w:multiLevelType w:val="hybridMultilevel"/>
    <w:tmpl w:val="C0F0588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3">
    <w:nsid w:val="5B1873DE"/>
    <w:multiLevelType w:val="hybridMultilevel"/>
    <w:tmpl w:val="AF6AEE8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4">
    <w:nsid w:val="5C4D3345"/>
    <w:multiLevelType w:val="hybridMultilevel"/>
    <w:tmpl w:val="1442A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1D209B3"/>
    <w:multiLevelType w:val="hybridMultilevel"/>
    <w:tmpl w:val="6D06073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6">
    <w:nsid w:val="655D62DD"/>
    <w:multiLevelType w:val="hybridMultilevel"/>
    <w:tmpl w:val="F260F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1EA6EDB"/>
    <w:multiLevelType w:val="hybridMultilevel"/>
    <w:tmpl w:val="3698BA6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DB163B"/>
    <w:multiLevelType w:val="hybridMultilevel"/>
    <w:tmpl w:val="26865460"/>
    <w:lvl w:ilvl="0" w:tplc="40FC8106">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19">
    <w:nsid w:val="73431369"/>
    <w:multiLevelType w:val="hybridMultilevel"/>
    <w:tmpl w:val="5448AD5C"/>
    <w:lvl w:ilvl="0" w:tplc="40FC8106">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num w:numId="1">
    <w:abstractNumId w:val="2"/>
  </w:num>
  <w:num w:numId="2">
    <w:abstractNumId w:val="1"/>
  </w:num>
  <w:num w:numId="3">
    <w:abstractNumId w:val="0"/>
  </w:num>
  <w:num w:numId="4">
    <w:abstractNumId w:val="11"/>
  </w:num>
  <w:num w:numId="5">
    <w:abstractNumId w:val="6"/>
  </w:num>
  <w:num w:numId="6">
    <w:abstractNumId w:val="16"/>
  </w:num>
  <w:num w:numId="7">
    <w:abstractNumId w:val="7"/>
  </w:num>
  <w:num w:numId="8">
    <w:abstractNumId w:val="3"/>
  </w:num>
  <w:num w:numId="9">
    <w:abstractNumId w:val="15"/>
  </w:num>
  <w:num w:numId="10">
    <w:abstractNumId w:val="17"/>
  </w:num>
  <w:num w:numId="11">
    <w:abstractNumId w:val="14"/>
  </w:num>
  <w:num w:numId="12">
    <w:abstractNumId w:val="4"/>
  </w:num>
  <w:num w:numId="13">
    <w:abstractNumId w:val="19"/>
  </w:num>
  <w:num w:numId="14">
    <w:abstractNumId w:val="10"/>
  </w:num>
  <w:num w:numId="15">
    <w:abstractNumId w:val="13"/>
  </w:num>
  <w:num w:numId="16">
    <w:abstractNumId w:val="12"/>
  </w:num>
  <w:num w:numId="17">
    <w:abstractNumId w:val="9"/>
  </w:num>
  <w:num w:numId="18">
    <w:abstractNumId w:val="5"/>
  </w:num>
  <w:num w:numId="19">
    <w:abstractNumId w:val="8"/>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SortMethod w:val="0000"/>
  <w:defaultTabStop w:val="720"/>
  <w:characterSpacingControl w:val="doNotCompress"/>
  <w:hdrShapeDefaults>
    <o:shapedefaults v:ext="edit" spidmax="40961">
      <o:colormenu v:ext="edit" fillcolor="none" strokecolor="none [3212]" shadowcolor="#b01e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4"/>
    <w:rsid w:val="00012992"/>
    <w:rsid w:val="00016CF3"/>
    <w:rsid w:val="0002163C"/>
    <w:rsid w:val="000361F7"/>
    <w:rsid w:val="0004171B"/>
    <w:rsid w:val="00045047"/>
    <w:rsid w:val="000516C5"/>
    <w:rsid w:val="00071830"/>
    <w:rsid w:val="00076990"/>
    <w:rsid w:val="000B18A6"/>
    <w:rsid w:val="000B77EE"/>
    <w:rsid w:val="000C67B2"/>
    <w:rsid w:val="000D4CCE"/>
    <w:rsid w:val="000D57D5"/>
    <w:rsid w:val="000D72D4"/>
    <w:rsid w:val="000E538E"/>
    <w:rsid w:val="000F0F87"/>
    <w:rsid w:val="001010DD"/>
    <w:rsid w:val="00104A9D"/>
    <w:rsid w:val="00107388"/>
    <w:rsid w:val="001121FB"/>
    <w:rsid w:val="00120C9B"/>
    <w:rsid w:val="00131E0A"/>
    <w:rsid w:val="00132C30"/>
    <w:rsid w:val="0017776C"/>
    <w:rsid w:val="0018401E"/>
    <w:rsid w:val="00194C5B"/>
    <w:rsid w:val="001956FA"/>
    <w:rsid w:val="001962D8"/>
    <w:rsid w:val="001A4260"/>
    <w:rsid w:val="001A5161"/>
    <w:rsid w:val="001C4067"/>
    <w:rsid w:val="001C6D7E"/>
    <w:rsid w:val="001D1EC0"/>
    <w:rsid w:val="001D6E0F"/>
    <w:rsid w:val="001D6F10"/>
    <w:rsid w:val="001E19CF"/>
    <w:rsid w:val="001E3463"/>
    <w:rsid w:val="001E4424"/>
    <w:rsid w:val="001F2535"/>
    <w:rsid w:val="001F61B7"/>
    <w:rsid w:val="002027D3"/>
    <w:rsid w:val="0020340B"/>
    <w:rsid w:val="00211285"/>
    <w:rsid w:val="0022354E"/>
    <w:rsid w:val="0022550C"/>
    <w:rsid w:val="0022765E"/>
    <w:rsid w:val="0023493D"/>
    <w:rsid w:val="00236BFE"/>
    <w:rsid w:val="00237CD9"/>
    <w:rsid w:val="002409BC"/>
    <w:rsid w:val="0024697A"/>
    <w:rsid w:val="0025050B"/>
    <w:rsid w:val="00252AFE"/>
    <w:rsid w:val="00252E9F"/>
    <w:rsid w:val="00253953"/>
    <w:rsid w:val="0025695A"/>
    <w:rsid w:val="00257205"/>
    <w:rsid w:val="00270500"/>
    <w:rsid w:val="002726D0"/>
    <w:rsid w:val="0027749A"/>
    <w:rsid w:val="00281CE5"/>
    <w:rsid w:val="0028392E"/>
    <w:rsid w:val="00297AF3"/>
    <w:rsid w:val="002C282A"/>
    <w:rsid w:val="002D0E5D"/>
    <w:rsid w:val="002E4165"/>
    <w:rsid w:val="002E4451"/>
    <w:rsid w:val="0030460D"/>
    <w:rsid w:val="00313833"/>
    <w:rsid w:val="003142E3"/>
    <w:rsid w:val="00326042"/>
    <w:rsid w:val="003545FD"/>
    <w:rsid w:val="00362C06"/>
    <w:rsid w:val="003725EF"/>
    <w:rsid w:val="00377584"/>
    <w:rsid w:val="00387DE8"/>
    <w:rsid w:val="00394795"/>
    <w:rsid w:val="003B4B60"/>
    <w:rsid w:val="003C3F25"/>
    <w:rsid w:val="003D01AE"/>
    <w:rsid w:val="003D1360"/>
    <w:rsid w:val="003D21AE"/>
    <w:rsid w:val="003D27A9"/>
    <w:rsid w:val="003E3154"/>
    <w:rsid w:val="003F3F48"/>
    <w:rsid w:val="00411805"/>
    <w:rsid w:val="00411D11"/>
    <w:rsid w:val="00412F69"/>
    <w:rsid w:val="00414B93"/>
    <w:rsid w:val="00423F82"/>
    <w:rsid w:val="00434D10"/>
    <w:rsid w:val="004369C1"/>
    <w:rsid w:val="00465D7A"/>
    <w:rsid w:val="00466BB8"/>
    <w:rsid w:val="00482E5C"/>
    <w:rsid w:val="004925A9"/>
    <w:rsid w:val="0049659B"/>
    <w:rsid w:val="004B0024"/>
    <w:rsid w:val="004C3C9F"/>
    <w:rsid w:val="004C62BD"/>
    <w:rsid w:val="004C653C"/>
    <w:rsid w:val="004D21E3"/>
    <w:rsid w:val="004D6126"/>
    <w:rsid w:val="004E02AE"/>
    <w:rsid w:val="00507C8A"/>
    <w:rsid w:val="0051479C"/>
    <w:rsid w:val="00515548"/>
    <w:rsid w:val="00517564"/>
    <w:rsid w:val="00531E4C"/>
    <w:rsid w:val="00533431"/>
    <w:rsid w:val="00533AB5"/>
    <w:rsid w:val="00543B89"/>
    <w:rsid w:val="00555E08"/>
    <w:rsid w:val="00555EA9"/>
    <w:rsid w:val="005618FB"/>
    <w:rsid w:val="00567F14"/>
    <w:rsid w:val="00576D43"/>
    <w:rsid w:val="00587725"/>
    <w:rsid w:val="0059548D"/>
    <w:rsid w:val="00596A2D"/>
    <w:rsid w:val="005A08D3"/>
    <w:rsid w:val="005A3226"/>
    <w:rsid w:val="005B5BE3"/>
    <w:rsid w:val="005B5D6C"/>
    <w:rsid w:val="005C7BE2"/>
    <w:rsid w:val="005D5B60"/>
    <w:rsid w:val="005E6972"/>
    <w:rsid w:val="005F28DE"/>
    <w:rsid w:val="005F794D"/>
    <w:rsid w:val="00622C52"/>
    <w:rsid w:val="00635070"/>
    <w:rsid w:val="00644A5E"/>
    <w:rsid w:val="00645884"/>
    <w:rsid w:val="006458AE"/>
    <w:rsid w:val="00646B09"/>
    <w:rsid w:val="00660FCD"/>
    <w:rsid w:val="00661741"/>
    <w:rsid w:val="006674D7"/>
    <w:rsid w:val="006717D3"/>
    <w:rsid w:val="00675940"/>
    <w:rsid w:val="00676CF7"/>
    <w:rsid w:val="006827AB"/>
    <w:rsid w:val="0068642B"/>
    <w:rsid w:val="006910BC"/>
    <w:rsid w:val="006978F1"/>
    <w:rsid w:val="006A0CDA"/>
    <w:rsid w:val="006A4B65"/>
    <w:rsid w:val="006B62C1"/>
    <w:rsid w:val="006B6328"/>
    <w:rsid w:val="006C19CC"/>
    <w:rsid w:val="006D0D2F"/>
    <w:rsid w:val="006E17E6"/>
    <w:rsid w:val="006E44E2"/>
    <w:rsid w:val="00713F02"/>
    <w:rsid w:val="00732E0F"/>
    <w:rsid w:val="00741877"/>
    <w:rsid w:val="007419CE"/>
    <w:rsid w:val="007449D1"/>
    <w:rsid w:val="007677AB"/>
    <w:rsid w:val="00767B84"/>
    <w:rsid w:val="007728F6"/>
    <w:rsid w:val="00782B0F"/>
    <w:rsid w:val="007874BA"/>
    <w:rsid w:val="00793A2A"/>
    <w:rsid w:val="007B7506"/>
    <w:rsid w:val="007D338C"/>
    <w:rsid w:val="007E59C7"/>
    <w:rsid w:val="007F4F39"/>
    <w:rsid w:val="008032F6"/>
    <w:rsid w:val="00811A69"/>
    <w:rsid w:val="008121E8"/>
    <w:rsid w:val="00822C37"/>
    <w:rsid w:val="00851730"/>
    <w:rsid w:val="008523FF"/>
    <w:rsid w:val="00862224"/>
    <w:rsid w:val="008653B1"/>
    <w:rsid w:val="008A232E"/>
    <w:rsid w:val="008B287B"/>
    <w:rsid w:val="008B7F32"/>
    <w:rsid w:val="008C38A0"/>
    <w:rsid w:val="008D0D96"/>
    <w:rsid w:val="008F206B"/>
    <w:rsid w:val="00904F95"/>
    <w:rsid w:val="009109A0"/>
    <w:rsid w:val="00911CE1"/>
    <w:rsid w:val="00917643"/>
    <w:rsid w:val="00922BCE"/>
    <w:rsid w:val="00931B59"/>
    <w:rsid w:val="009352D0"/>
    <w:rsid w:val="0095627B"/>
    <w:rsid w:val="009812C8"/>
    <w:rsid w:val="0099162B"/>
    <w:rsid w:val="009A34E2"/>
    <w:rsid w:val="009B5B2D"/>
    <w:rsid w:val="009C2DF9"/>
    <w:rsid w:val="009D158D"/>
    <w:rsid w:val="009D73F3"/>
    <w:rsid w:val="009E2F1D"/>
    <w:rsid w:val="009E66E7"/>
    <w:rsid w:val="009F40D2"/>
    <w:rsid w:val="00A07851"/>
    <w:rsid w:val="00A1653F"/>
    <w:rsid w:val="00A16D68"/>
    <w:rsid w:val="00A25D96"/>
    <w:rsid w:val="00A25F5C"/>
    <w:rsid w:val="00A36C76"/>
    <w:rsid w:val="00A41BF4"/>
    <w:rsid w:val="00A440FC"/>
    <w:rsid w:val="00A6245C"/>
    <w:rsid w:val="00A81DCE"/>
    <w:rsid w:val="00A875BC"/>
    <w:rsid w:val="00A93D82"/>
    <w:rsid w:val="00A9640E"/>
    <w:rsid w:val="00AB7C0C"/>
    <w:rsid w:val="00AF6321"/>
    <w:rsid w:val="00B10772"/>
    <w:rsid w:val="00B12E00"/>
    <w:rsid w:val="00B13D2B"/>
    <w:rsid w:val="00B351A8"/>
    <w:rsid w:val="00B562E7"/>
    <w:rsid w:val="00B57F98"/>
    <w:rsid w:val="00B7752A"/>
    <w:rsid w:val="00B92A65"/>
    <w:rsid w:val="00B93E46"/>
    <w:rsid w:val="00B952C0"/>
    <w:rsid w:val="00BA69A1"/>
    <w:rsid w:val="00BB0C4C"/>
    <w:rsid w:val="00BC01C0"/>
    <w:rsid w:val="00BC3799"/>
    <w:rsid w:val="00BD28A6"/>
    <w:rsid w:val="00BD5B73"/>
    <w:rsid w:val="00C0224E"/>
    <w:rsid w:val="00C1533A"/>
    <w:rsid w:val="00C21315"/>
    <w:rsid w:val="00C27B90"/>
    <w:rsid w:val="00C3573D"/>
    <w:rsid w:val="00C5080E"/>
    <w:rsid w:val="00C51319"/>
    <w:rsid w:val="00C62E87"/>
    <w:rsid w:val="00C67E0F"/>
    <w:rsid w:val="00C7089B"/>
    <w:rsid w:val="00C836E4"/>
    <w:rsid w:val="00C8757C"/>
    <w:rsid w:val="00C95A9A"/>
    <w:rsid w:val="00C96B47"/>
    <w:rsid w:val="00CA1396"/>
    <w:rsid w:val="00CA55ED"/>
    <w:rsid w:val="00CB4877"/>
    <w:rsid w:val="00CB4FB2"/>
    <w:rsid w:val="00CD6382"/>
    <w:rsid w:val="00CE4E26"/>
    <w:rsid w:val="00D020A2"/>
    <w:rsid w:val="00D21673"/>
    <w:rsid w:val="00D61C11"/>
    <w:rsid w:val="00D62712"/>
    <w:rsid w:val="00D6739A"/>
    <w:rsid w:val="00D86B65"/>
    <w:rsid w:val="00D90EA1"/>
    <w:rsid w:val="00DA0CED"/>
    <w:rsid w:val="00DB0328"/>
    <w:rsid w:val="00DB3843"/>
    <w:rsid w:val="00DB4C0C"/>
    <w:rsid w:val="00DB5A18"/>
    <w:rsid w:val="00DB79E4"/>
    <w:rsid w:val="00DC1B27"/>
    <w:rsid w:val="00DC2247"/>
    <w:rsid w:val="00DE0A0A"/>
    <w:rsid w:val="00DF4BAE"/>
    <w:rsid w:val="00DF5875"/>
    <w:rsid w:val="00E1366F"/>
    <w:rsid w:val="00E23DC9"/>
    <w:rsid w:val="00E3512E"/>
    <w:rsid w:val="00E46608"/>
    <w:rsid w:val="00E60B48"/>
    <w:rsid w:val="00E66685"/>
    <w:rsid w:val="00E84CE7"/>
    <w:rsid w:val="00E93B9C"/>
    <w:rsid w:val="00EA40C0"/>
    <w:rsid w:val="00EB2939"/>
    <w:rsid w:val="00EB4B9E"/>
    <w:rsid w:val="00EB60EF"/>
    <w:rsid w:val="00EB78E7"/>
    <w:rsid w:val="00ED51D2"/>
    <w:rsid w:val="00EF14C8"/>
    <w:rsid w:val="00F0182A"/>
    <w:rsid w:val="00F125E9"/>
    <w:rsid w:val="00F40B14"/>
    <w:rsid w:val="00F443F6"/>
    <w:rsid w:val="00F52614"/>
    <w:rsid w:val="00F55781"/>
    <w:rsid w:val="00F62F68"/>
    <w:rsid w:val="00F96336"/>
    <w:rsid w:val="00FA728F"/>
    <w:rsid w:val="00FE000C"/>
    <w:rsid w:val="00FE3F7B"/>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enu v:ext="edit" fillcolor="none" strokecolor="none [3212]" shadowcolor="#b01e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95E66"/>
    <w:rPr>
      <w:rFonts w:ascii="Arial" w:eastAsia="Times" w:hAnsi="Arial"/>
      <w:sz w:val="24"/>
      <w:lang w:eastAsia="en-AU"/>
    </w:rPr>
  </w:style>
  <w:style w:type="paragraph" w:styleId="Heading1">
    <w:name w:val="heading 1"/>
    <w:aliases w:val="Heading 1 EVALUATION"/>
    <w:basedOn w:val="Normal"/>
    <w:next w:val="Normal"/>
    <w:link w:val="Heading1Char"/>
    <w:qFormat/>
    <w:rsid w:val="008032F6"/>
    <w:pPr>
      <w:keepNext/>
      <w:spacing w:after="160"/>
      <w:outlineLvl w:val="0"/>
    </w:pPr>
    <w:rPr>
      <w:rFonts w:eastAsia="SimSun"/>
      <w:bCs/>
      <w:color w:val="00B2E3"/>
      <w:kern w:val="32"/>
      <w:sz w:val="44"/>
      <w:szCs w:val="32"/>
    </w:rPr>
  </w:style>
  <w:style w:type="paragraph" w:styleId="Heading2">
    <w:name w:val="heading 2"/>
    <w:aliases w:val="Heading 2 EVALUATION"/>
    <w:basedOn w:val="Normal"/>
    <w:next w:val="Normal"/>
    <w:qFormat/>
    <w:rsid w:val="008032F6"/>
    <w:pPr>
      <w:keepNext/>
      <w:spacing w:before="360" w:after="160" w:line="360" w:lineRule="exact"/>
      <w:outlineLvl w:val="1"/>
    </w:pPr>
    <w:rPr>
      <w:b/>
      <w:sz w:val="32"/>
    </w:rPr>
  </w:style>
  <w:style w:type="paragraph" w:styleId="Heading3">
    <w:name w:val="heading 3"/>
    <w:aliases w:val="Heading 3 EVALUATION"/>
    <w:basedOn w:val="Normal"/>
    <w:next w:val="Normal"/>
    <w:qFormat/>
    <w:rsid w:val="00741877"/>
    <w:pPr>
      <w:keepNext/>
      <w:suppressAutoHyphens/>
      <w:spacing w:before="360" w:after="160" w:line="360" w:lineRule="exact"/>
      <w:outlineLvl w:val="2"/>
    </w:pPr>
    <w:rPr>
      <w:sz w:val="28"/>
    </w:rPr>
  </w:style>
  <w:style w:type="paragraph" w:styleId="Heading4">
    <w:name w:val="heading 4"/>
    <w:aliases w:val="Heading 4 EVALUATION"/>
    <w:basedOn w:val="Normal"/>
    <w:next w:val="Normal"/>
    <w:link w:val="Heading4Char"/>
    <w:unhideWhenUsed/>
    <w:qFormat/>
    <w:rsid w:val="00C7089B"/>
    <w:pPr>
      <w:keepNext/>
      <w:spacing w:before="360" w:after="10"/>
      <w:outlineLvl w:val="3"/>
    </w:pPr>
    <w:rPr>
      <w:rFonts w:eastAsia="SimSun"/>
      <w:bCs/>
      <w:i/>
      <w:color w:val="00B2E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032F6"/>
    <w:pPr>
      <w:suppressAutoHyphens/>
      <w:spacing w:after="280" w:line="300" w:lineRule="exact"/>
      <w:ind w:right="45"/>
    </w:pPr>
    <w:rPr>
      <w:sz w:val="22"/>
    </w:rPr>
  </w:style>
  <w:style w:type="paragraph" w:styleId="Header">
    <w:name w:val="header"/>
    <w:aliases w:val="Header EVALUATION"/>
    <w:basedOn w:val="Heading1"/>
    <w:rsid w:val="007677AB"/>
    <w:pPr>
      <w:spacing w:before="240" w:after="360"/>
    </w:pPr>
    <w:rPr>
      <w:b/>
      <w:color w:val="7F7F7F"/>
      <w:sz w:val="52"/>
    </w:rPr>
  </w:style>
  <w:style w:type="paragraph" w:styleId="Footer">
    <w:name w:val="footer"/>
    <w:basedOn w:val="Normal"/>
    <w:rsid w:val="007A612B"/>
    <w:pPr>
      <w:tabs>
        <w:tab w:val="center" w:pos="4153"/>
        <w:tab w:val="right" w:pos="8306"/>
      </w:tabs>
    </w:pPr>
  </w:style>
  <w:style w:type="character" w:customStyle="1" w:styleId="Heading1Char">
    <w:name w:val="Heading 1 Char"/>
    <w:aliases w:val="Heading 1 EVALUATION Char"/>
    <w:link w:val="Heading1"/>
    <w:rsid w:val="008032F6"/>
    <w:rPr>
      <w:rFonts w:ascii="Arial" w:eastAsia="SimSun" w:hAnsi="Arial" w:cs="Times New Roman"/>
      <w:bCs/>
      <w:color w:val="00B2E3"/>
      <w:kern w:val="32"/>
      <w:sz w:val="44"/>
      <w:szCs w:val="32"/>
      <w:lang w:eastAsia="en-AU"/>
    </w:rPr>
  </w:style>
  <w:style w:type="character" w:customStyle="1" w:styleId="Heading4Char">
    <w:name w:val="Heading 4 Char"/>
    <w:aliases w:val="Heading 4 EVALUATION Char"/>
    <w:link w:val="Heading4"/>
    <w:rsid w:val="00C7089B"/>
    <w:rPr>
      <w:rFonts w:ascii="Arial" w:eastAsia="SimSun" w:hAnsi="Arial" w:cs="Times New Roman"/>
      <w:bCs/>
      <w:i/>
      <w:color w:val="00B2E3"/>
      <w:sz w:val="24"/>
      <w:szCs w:val="28"/>
      <w:lang w:eastAsia="en-AU"/>
    </w:rPr>
  </w:style>
  <w:style w:type="character" w:styleId="HTMLAcronym">
    <w:name w:val="HTML Acronym"/>
    <w:basedOn w:val="DefaultParagraphFont"/>
    <w:rsid w:val="005D5B60"/>
  </w:style>
  <w:style w:type="paragraph" w:styleId="BodyText">
    <w:name w:val="Body Text"/>
    <w:basedOn w:val="Normal"/>
    <w:link w:val="BodyTextChar"/>
    <w:rsid w:val="005D5B60"/>
    <w:pPr>
      <w:spacing w:after="120" w:line="360" w:lineRule="auto"/>
    </w:pPr>
    <w:rPr>
      <w:sz w:val="22"/>
    </w:rPr>
  </w:style>
  <w:style w:type="character" w:customStyle="1" w:styleId="BodyTextChar">
    <w:name w:val="Body Text Char"/>
    <w:link w:val="BodyText"/>
    <w:rsid w:val="005D5B60"/>
    <w:rPr>
      <w:rFonts w:ascii="Arial" w:eastAsia="Times" w:hAnsi="Arial"/>
      <w:sz w:val="22"/>
      <w:lang w:eastAsia="en-AU"/>
    </w:rPr>
  </w:style>
  <w:style w:type="paragraph" w:styleId="List">
    <w:name w:val="List"/>
    <w:basedOn w:val="Normal"/>
    <w:rsid w:val="005D5B60"/>
    <w:pPr>
      <w:ind w:left="283" w:hanging="283"/>
      <w:contextualSpacing/>
    </w:pPr>
  </w:style>
  <w:style w:type="paragraph" w:styleId="ListBullet">
    <w:name w:val="List Bullet"/>
    <w:aliases w:val="List Bullet EVALUATION"/>
    <w:basedOn w:val="Normal"/>
    <w:rsid w:val="007677AB"/>
    <w:pPr>
      <w:numPr>
        <w:numId w:val="1"/>
      </w:numPr>
      <w:spacing w:after="60"/>
      <w:contextualSpacing/>
    </w:pPr>
    <w:rPr>
      <w:sz w:val="22"/>
    </w:rPr>
  </w:style>
  <w:style w:type="paragraph" w:styleId="BodyText2">
    <w:name w:val="Body Text 2"/>
    <w:basedOn w:val="Normal"/>
    <w:link w:val="BodyText2Char"/>
    <w:rsid w:val="005D5B60"/>
    <w:pPr>
      <w:spacing w:after="120"/>
    </w:pPr>
    <w:rPr>
      <w:sz w:val="22"/>
    </w:rPr>
  </w:style>
  <w:style w:type="character" w:customStyle="1" w:styleId="BodyText2Char">
    <w:name w:val="Body Text 2 Char"/>
    <w:link w:val="BodyText2"/>
    <w:rsid w:val="005D5B60"/>
    <w:rPr>
      <w:rFonts w:ascii="Arial" w:eastAsia="Times" w:hAnsi="Arial"/>
      <w:sz w:val="22"/>
      <w:lang w:eastAsia="en-AU"/>
    </w:rPr>
  </w:style>
  <w:style w:type="paragraph" w:styleId="ListBullet2">
    <w:name w:val="List Bullet 2"/>
    <w:aliases w:val="List Bullet 2 EVALUATION"/>
    <w:basedOn w:val="Normal"/>
    <w:rsid w:val="007677AB"/>
    <w:pPr>
      <w:spacing w:after="60"/>
      <w:contextualSpacing/>
    </w:pPr>
    <w:rPr>
      <w:sz w:val="22"/>
    </w:rPr>
  </w:style>
  <w:style w:type="paragraph" w:styleId="ListBullet3">
    <w:name w:val="List Bullet 3"/>
    <w:aliases w:val="List Bullet 3 EVALUATION"/>
    <w:basedOn w:val="Normal"/>
    <w:rsid w:val="007677AB"/>
    <w:pPr>
      <w:numPr>
        <w:numId w:val="3"/>
      </w:numPr>
      <w:contextualSpacing/>
    </w:pPr>
    <w:rPr>
      <w:sz w:val="22"/>
    </w:rPr>
  </w:style>
  <w:style w:type="table" w:styleId="TableGrid">
    <w:name w:val="Table Grid"/>
    <w:basedOn w:val="TableNormal"/>
    <w:uiPriority w:val="59"/>
    <w:rsid w:val="0078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B14"/>
    <w:pPr>
      <w:spacing w:after="200" w:line="276" w:lineRule="auto"/>
      <w:ind w:left="720"/>
      <w:contextualSpacing/>
    </w:pPr>
    <w:rPr>
      <w:rFonts w:ascii="Calibri" w:eastAsia="SimSun" w:hAnsi="Calibri"/>
      <w:sz w:val="22"/>
      <w:szCs w:val="22"/>
      <w:lang w:eastAsia="zh-CN"/>
    </w:rPr>
  </w:style>
  <w:style w:type="character" w:styleId="CommentReference">
    <w:name w:val="annotation reference"/>
    <w:uiPriority w:val="99"/>
    <w:unhideWhenUsed/>
    <w:rsid w:val="00F40B14"/>
    <w:rPr>
      <w:sz w:val="16"/>
      <w:szCs w:val="16"/>
    </w:rPr>
  </w:style>
  <w:style w:type="character" w:styleId="Hyperlink">
    <w:name w:val="Hyperlink"/>
    <w:rsid w:val="00F96336"/>
    <w:rPr>
      <w:color w:val="0000FF"/>
      <w:u w:val="single"/>
    </w:rPr>
  </w:style>
  <w:style w:type="paragraph" w:styleId="CommentText">
    <w:name w:val="annotation text"/>
    <w:basedOn w:val="Normal"/>
    <w:link w:val="CommentTextChar"/>
    <w:rsid w:val="00B93E46"/>
    <w:rPr>
      <w:sz w:val="20"/>
    </w:rPr>
  </w:style>
  <w:style w:type="character" w:customStyle="1" w:styleId="CommentTextChar">
    <w:name w:val="Comment Text Char"/>
    <w:link w:val="CommentText"/>
    <w:rsid w:val="00B93E46"/>
    <w:rPr>
      <w:rFonts w:ascii="Arial" w:eastAsia="Times" w:hAnsi="Arial"/>
      <w:lang w:eastAsia="en-AU"/>
    </w:rPr>
  </w:style>
  <w:style w:type="paragraph" w:styleId="CommentSubject">
    <w:name w:val="annotation subject"/>
    <w:basedOn w:val="CommentText"/>
    <w:next w:val="CommentText"/>
    <w:link w:val="CommentSubjectChar"/>
    <w:rsid w:val="00B93E46"/>
    <w:rPr>
      <w:b/>
      <w:bCs/>
    </w:rPr>
  </w:style>
  <w:style w:type="character" w:customStyle="1" w:styleId="CommentSubjectChar">
    <w:name w:val="Comment Subject Char"/>
    <w:link w:val="CommentSubject"/>
    <w:rsid w:val="00B93E46"/>
    <w:rPr>
      <w:rFonts w:ascii="Arial" w:eastAsia="Times" w:hAnsi="Arial"/>
      <w:b/>
      <w:bCs/>
      <w:lang w:eastAsia="en-AU"/>
    </w:rPr>
  </w:style>
  <w:style w:type="paragraph" w:styleId="BalloonText">
    <w:name w:val="Balloon Text"/>
    <w:basedOn w:val="Normal"/>
    <w:link w:val="BalloonTextChar"/>
    <w:rsid w:val="00B93E46"/>
    <w:rPr>
      <w:rFonts w:ascii="Tahoma" w:hAnsi="Tahoma" w:cs="Tahoma"/>
      <w:sz w:val="16"/>
      <w:szCs w:val="16"/>
    </w:rPr>
  </w:style>
  <w:style w:type="character" w:customStyle="1" w:styleId="BalloonTextChar">
    <w:name w:val="Balloon Text Char"/>
    <w:link w:val="BalloonText"/>
    <w:rsid w:val="00B93E46"/>
    <w:rPr>
      <w:rFonts w:ascii="Tahoma" w:eastAsia="Times" w:hAnsi="Tahoma" w:cs="Tahoma"/>
      <w:sz w:val="16"/>
      <w:szCs w:val="16"/>
      <w:lang w:eastAsia="en-AU"/>
    </w:rPr>
  </w:style>
  <w:style w:type="character" w:styleId="FollowedHyperlink">
    <w:name w:val="FollowedHyperlink"/>
    <w:rsid w:val="00CB4877"/>
    <w:rPr>
      <w:color w:val="800080"/>
      <w:u w:val="single"/>
    </w:rPr>
  </w:style>
  <w:style w:type="paragraph" w:styleId="FootnoteText">
    <w:name w:val="footnote text"/>
    <w:basedOn w:val="Normal"/>
    <w:link w:val="FootnoteTextChar"/>
    <w:rsid w:val="0049659B"/>
    <w:rPr>
      <w:sz w:val="20"/>
    </w:rPr>
  </w:style>
  <w:style w:type="character" w:customStyle="1" w:styleId="FootnoteTextChar">
    <w:name w:val="Footnote Text Char"/>
    <w:basedOn w:val="DefaultParagraphFont"/>
    <w:link w:val="FootnoteText"/>
    <w:rsid w:val="0049659B"/>
    <w:rPr>
      <w:rFonts w:ascii="Arial" w:eastAsia="Times" w:hAnsi="Arial"/>
      <w:lang w:eastAsia="en-AU"/>
    </w:rPr>
  </w:style>
  <w:style w:type="character" w:styleId="FootnoteReference">
    <w:name w:val="footnote reference"/>
    <w:basedOn w:val="DefaultParagraphFont"/>
    <w:rsid w:val="004965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95E66"/>
    <w:rPr>
      <w:rFonts w:ascii="Arial" w:eastAsia="Times" w:hAnsi="Arial"/>
      <w:sz w:val="24"/>
      <w:lang w:eastAsia="en-AU"/>
    </w:rPr>
  </w:style>
  <w:style w:type="paragraph" w:styleId="Heading1">
    <w:name w:val="heading 1"/>
    <w:aliases w:val="Heading 1 EVALUATION"/>
    <w:basedOn w:val="Normal"/>
    <w:next w:val="Normal"/>
    <w:link w:val="Heading1Char"/>
    <w:qFormat/>
    <w:rsid w:val="008032F6"/>
    <w:pPr>
      <w:keepNext/>
      <w:spacing w:after="160"/>
      <w:outlineLvl w:val="0"/>
    </w:pPr>
    <w:rPr>
      <w:rFonts w:eastAsia="SimSun"/>
      <w:bCs/>
      <w:color w:val="00B2E3"/>
      <w:kern w:val="32"/>
      <w:sz w:val="44"/>
      <w:szCs w:val="32"/>
    </w:rPr>
  </w:style>
  <w:style w:type="paragraph" w:styleId="Heading2">
    <w:name w:val="heading 2"/>
    <w:aliases w:val="Heading 2 EVALUATION"/>
    <w:basedOn w:val="Normal"/>
    <w:next w:val="Normal"/>
    <w:qFormat/>
    <w:rsid w:val="008032F6"/>
    <w:pPr>
      <w:keepNext/>
      <w:spacing w:before="360" w:after="160" w:line="360" w:lineRule="exact"/>
      <w:outlineLvl w:val="1"/>
    </w:pPr>
    <w:rPr>
      <w:b/>
      <w:sz w:val="32"/>
    </w:rPr>
  </w:style>
  <w:style w:type="paragraph" w:styleId="Heading3">
    <w:name w:val="heading 3"/>
    <w:aliases w:val="Heading 3 EVALUATION"/>
    <w:basedOn w:val="Normal"/>
    <w:next w:val="Normal"/>
    <w:qFormat/>
    <w:rsid w:val="00741877"/>
    <w:pPr>
      <w:keepNext/>
      <w:suppressAutoHyphens/>
      <w:spacing w:before="360" w:after="160" w:line="360" w:lineRule="exact"/>
      <w:outlineLvl w:val="2"/>
    </w:pPr>
    <w:rPr>
      <w:sz w:val="28"/>
    </w:rPr>
  </w:style>
  <w:style w:type="paragraph" w:styleId="Heading4">
    <w:name w:val="heading 4"/>
    <w:aliases w:val="Heading 4 EVALUATION"/>
    <w:basedOn w:val="Normal"/>
    <w:next w:val="Normal"/>
    <w:link w:val="Heading4Char"/>
    <w:unhideWhenUsed/>
    <w:qFormat/>
    <w:rsid w:val="00C7089B"/>
    <w:pPr>
      <w:keepNext/>
      <w:spacing w:before="360" w:after="10"/>
      <w:outlineLvl w:val="3"/>
    </w:pPr>
    <w:rPr>
      <w:rFonts w:eastAsia="SimSun"/>
      <w:bCs/>
      <w:i/>
      <w:color w:val="00B2E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032F6"/>
    <w:pPr>
      <w:suppressAutoHyphens/>
      <w:spacing w:after="280" w:line="300" w:lineRule="exact"/>
      <w:ind w:right="45"/>
    </w:pPr>
    <w:rPr>
      <w:sz w:val="22"/>
    </w:rPr>
  </w:style>
  <w:style w:type="paragraph" w:styleId="Header">
    <w:name w:val="header"/>
    <w:aliases w:val="Header EVALUATION"/>
    <w:basedOn w:val="Heading1"/>
    <w:rsid w:val="007677AB"/>
    <w:pPr>
      <w:spacing w:before="240" w:after="360"/>
    </w:pPr>
    <w:rPr>
      <w:b/>
      <w:color w:val="7F7F7F"/>
      <w:sz w:val="52"/>
    </w:rPr>
  </w:style>
  <w:style w:type="paragraph" w:styleId="Footer">
    <w:name w:val="footer"/>
    <w:basedOn w:val="Normal"/>
    <w:rsid w:val="007A612B"/>
    <w:pPr>
      <w:tabs>
        <w:tab w:val="center" w:pos="4153"/>
        <w:tab w:val="right" w:pos="8306"/>
      </w:tabs>
    </w:pPr>
  </w:style>
  <w:style w:type="character" w:customStyle="1" w:styleId="Heading1Char">
    <w:name w:val="Heading 1 Char"/>
    <w:aliases w:val="Heading 1 EVALUATION Char"/>
    <w:link w:val="Heading1"/>
    <w:rsid w:val="008032F6"/>
    <w:rPr>
      <w:rFonts w:ascii="Arial" w:eastAsia="SimSun" w:hAnsi="Arial" w:cs="Times New Roman"/>
      <w:bCs/>
      <w:color w:val="00B2E3"/>
      <w:kern w:val="32"/>
      <w:sz w:val="44"/>
      <w:szCs w:val="32"/>
      <w:lang w:eastAsia="en-AU"/>
    </w:rPr>
  </w:style>
  <w:style w:type="character" w:customStyle="1" w:styleId="Heading4Char">
    <w:name w:val="Heading 4 Char"/>
    <w:aliases w:val="Heading 4 EVALUATION Char"/>
    <w:link w:val="Heading4"/>
    <w:rsid w:val="00C7089B"/>
    <w:rPr>
      <w:rFonts w:ascii="Arial" w:eastAsia="SimSun" w:hAnsi="Arial" w:cs="Times New Roman"/>
      <w:bCs/>
      <w:i/>
      <w:color w:val="00B2E3"/>
      <w:sz w:val="24"/>
      <w:szCs w:val="28"/>
      <w:lang w:eastAsia="en-AU"/>
    </w:rPr>
  </w:style>
  <w:style w:type="character" w:styleId="HTMLAcronym">
    <w:name w:val="HTML Acronym"/>
    <w:basedOn w:val="DefaultParagraphFont"/>
    <w:rsid w:val="005D5B60"/>
  </w:style>
  <w:style w:type="paragraph" w:styleId="BodyText">
    <w:name w:val="Body Text"/>
    <w:basedOn w:val="Normal"/>
    <w:link w:val="BodyTextChar"/>
    <w:rsid w:val="005D5B60"/>
    <w:pPr>
      <w:spacing w:after="120" w:line="360" w:lineRule="auto"/>
    </w:pPr>
    <w:rPr>
      <w:sz w:val="22"/>
    </w:rPr>
  </w:style>
  <w:style w:type="character" w:customStyle="1" w:styleId="BodyTextChar">
    <w:name w:val="Body Text Char"/>
    <w:link w:val="BodyText"/>
    <w:rsid w:val="005D5B60"/>
    <w:rPr>
      <w:rFonts w:ascii="Arial" w:eastAsia="Times" w:hAnsi="Arial"/>
      <w:sz w:val="22"/>
      <w:lang w:eastAsia="en-AU"/>
    </w:rPr>
  </w:style>
  <w:style w:type="paragraph" w:styleId="List">
    <w:name w:val="List"/>
    <w:basedOn w:val="Normal"/>
    <w:rsid w:val="005D5B60"/>
    <w:pPr>
      <w:ind w:left="283" w:hanging="283"/>
      <w:contextualSpacing/>
    </w:pPr>
  </w:style>
  <w:style w:type="paragraph" w:styleId="ListBullet">
    <w:name w:val="List Bullet"/>
    <w:aliases w:val="List Bullet EVALUATION"/>
    <w:basedOn w:val="Normal"/>
    <w:rsid w:val="007677AB"/>
    <w:pPr>
      <w:numPr>
        <w:numId w:val="1"/>
      </w:numPr>
      <w:spacing w:after="60"/>
      <w:contextualSpacing/>
    </w:pPr>
    <w:rPr>
      <w:sz w:val="22"/>
    </w:rPr>
  </w:style>
  <w:style w:type="paragraph" w:styleId="BodyText2">
    <w:name w:val="Body Text 2"/>
    <w:basedOn w:val="Normal"/>
    <w:link w:val="BodyText2Char"/>
    <w:rsid w:val="005D5B60"/>
    <w:pPr>
      <w:spacing w:after="120"/>
    </w:pPr>
    <w:rPr>
      <w:sz w:val="22"/>
    </w:rPr>
  </w:style>
  <w:style w:type="character" w:customStyle="1" w:styleId="BodyText2Char">
    <w:name w:val="Body Text 2 Char"/>
    <w:link w:val="BodyText2"/>
    <w:rsid w:val="005D5B60"/>
    <w:rPr>
      <w:rFonts w:ascii="Arial" w:eastAsia="Times" w:hAnsi="Arial"/>
      <w:sz w:val="22"/>
      <w:lang w:eastAsia="en-AU"/>
    </w:rPr>
  </w:style>
  <w:style w:type="paragraph" w:styleId="ListBullet2">
    <w:name w:val="List Bullet 2"/>
    <w:aliases w:val="List Bullet 2 EVALUATION"/>
    <w:basedOn w:val="Normal"/>
    <w:rsid w:val="007677AB"/>
    <w:pPr>
      <w:spacing w:after="60"/>
      <w:contextualSpacing/>
    </w:pPr>
    <w:rPr>
      <w:sz w:val="22"/>
    </w:rPr>
  </w:style>
  <w:style w:type="paragraph" w:styleId="ListBullet3">
    <w:name w:val="List Bullet 3"/>
    <w:aliases w:val="List Bullet 3 EVALUATION"/>
    <w:basedOn w:val="Normal"/>
    <w:rsid w:val="007677AB"/>
    <w:pPr>
      <w:numPr>
        <w:numId w:val="3"/>
      </w:numPr>
      <w:contextualSpacing/>
    </w:pPr>
    <w:rPr>
      <w:sz w:val="22"/>
    </w:rPr>
  </w:style>
  <w:style w:type="table" w:styleId="TableGrid">
    <w:name w:val="Table Grid"/>
    <w:basedOn w:val="TableNormal"/>
    <w:uiPriority w:val="59"/>
    <w:rsid w:val="0078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B14"/>
    <w:pPr>
      <w:spacing w:after="200" w:line="276" w:lineRule="auto"/>
      <w:ind w:left="720"/>
      <w:contextualSpacing/>
    </w:pPr>
    <w:rPr>
      <w:rFonts w:ascii="Calibri" w:eastAsia="SimSun" w:hAnsi="Calibri"/>
      <w:sz w:val="22"/>
      <w:szCs w:val="22"/>
      <w:lang w:eastAsia="zh-CN"/>
    </w:rPr>
  </w:style>
  <w:style w:type="character" w:styleId="CommentReference">
    <w:name w:val="annotation reference"/>
    <w:uiPriority w:val="99"/>
    <w:unhideWhenUsed/>
    <w:rsid w:val="00F40B14"/>
    <w:rPr>
      <w:sz w:val="16"/>
      <w:szCs w:val="16"/>
    </w:rPr>
  </w:style>
  <w:style w:type="character" w:styleId="Hyperlink">
    <w:name w:val="Hyperlink"/>
    <w:rsid w:val="00F96336"/>
    <w:rPr>
      <w:color w:val="0000FF"/>
      <w:u w:val="single"/>
    </w:rPr>
  </w:style>
  <w:style w:type="paragraph" w:styleId="CommentText">
    <w:name w:val="annotation text"/>
    <w:basedOn w:val="Normal"/>
    <w:link w:val="CommentTextChar"/>
    <w:rsid w:val="00B93E46"/>
    <w:rPr>
      <w:sz w:val="20"/>
    </w:rPr>
  </w:style>
  <w:style w:type="character" w:customStyle="1" w:styleId="CommentTextChar">
    <w:name w:val="Comment Text Char"/>
    <w:link w:val="CommentText"/>
    <w:rsid w:val="00B93E46"/>
    <w:rPr>
      <w:rFonts w:ascii="Arial" w:eastAsia="Times" w:hAnsi="Arial"/>
      <w:lang w:eastAsia="en-AU"/>
    </w:rPr>
  </w:style>
  <w:style w:type="paragraph" w:styleId="CommentSubject">
    <w:name w:val="annotation subject"/>
    <w:basedOn w:val="CommentText"/>
    <w:next w:val="CommentText"/>
    <w:link w:val="CommentSubjectChar"/>
    <w:rsid w:val="00B93E46"/>
    <w:rPr>
      <w:b/>
      <w:bCs/>
    </w:rPr>
  </w:style>
  <w:style w:type="character" w:customStyle="1" w:styleId="CommentSubjectChar">
    <w:name w:val="Comment Subject Char"/>
    <w:link w:val="CommentSubject"/>
    <w:rsid w:val="00B93E46"/>
    <w:rPr>
      <w:rFonts w:ascii="Arial" w:eastAsia="Times" w:hAnsi="Arial"/>
      <w:b/>
      <w:bCs/>
      <w:lang w:eastAsia="en-AU"/>
    </w:rPr>
  </w:style>
  <w:style w:type="paragraph" w:styleId="BalloonText">
    <w:name w:val="Balloon Text"/>
    <w:basedOn w:val="Normal"/>
    <w:link w:val="BalloonTextChar"/>
    <w:rsid w:val="00B93E46"/>
    <w:rPr>
      <w:rFonts w:ascii="Tahoma" w:hAnsi="Tahoma" w:cs="Tahoma"/>
      <w:sz w:val="16"/>
      <w:szCs w:val="16"/>
    </w:rPr>
  </w:style>
  <w:style w:type="character" w:customStyle="1" w:styleId="BalloonTextChar">
    <w:name w:val="Balloon Text Char"/>
    <w:link w:val="BalloonText"/>
    <w:rsid w:val="00B93E46"/>
    <w:rPr>
      <w:rFonts w:ascii="Tahoma" w:eastAsia="Times" w:hAnsi="Tahoma" w:cs="Tahoma"/>
      <w:sz w:val="16"/>
      <w:szCs w:val="16"/>
      <w:lang w:eastAsia="en-AU"/>
    </w:rPr>
  </w:style>
  <w:style w:type="character" w:styleId="FollowedHyperlink">
    <w:name w:val="FollowedHyperlink"/>
    <w:rsid w:val="00CB4877"/>
    <w:rPr>
      <w:color w:val="800080"/>
      <w:u w:val="single"/>
    </w:rPr>
  </w:style>
  <w:style w:type="paragraph" w:styleId="FootnoteText">
    <w:name w:val="footnote text"/>
    <w:basedOn w:val="Normal"/>
    <w:link w:val="FootnoteTextChar"/>
    <w:rsid w:val="0049659B"/>
    <w:rPr>
      <w:sz w:val="20"/>
    </w:rPr>
  </w:style>
  <w:style w:type="character" w:customStyle="1" w:styleId="FootnoteTextChar">
    <w:name w:val="Footnote Text Char"/>
    <w:basedOn w:val="DefaultParagraphFont"/>
    <w:link w:val="FootnoteText"/>
    <w:rsid w:val="0049659B"/>
    <w:rPr>
      <w:rFonts w:ascii="Arial" w:eastAsia="Times" w:hAnsi="Arial"/>
      <w:lang w:eastAsia="en-AU"/>
    </w:rPr>
  </w:style>
  <w:style w:type="character" w:styleId="FootnoteReference">
    <w:name w:val="footnote reference"/>
    <w:basedOn w:val="DefaultParagraphFont"/>
    <w:rsid w:val="00496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7937">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0.png"/><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nesta.org.uk/publications/what-does-it-take-go-big-insights-scaling-social-innovation" TargetMode="External"/><Relationship Id="rId1" Type="http://schemas.openxmlformats.org/officeDocument/2006/relationships/hyperlink" Target="http://www.nesta.org.uk/publications/what-does-it-take-go-big-insights-scaling-social-innov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4AA7C53C33E6D4DAD324E66B79E4959" ma:contentTypeVersion="1" ma:contentTypeDescription="Create a new document." ma:contentTypeScope="" ma:versionID="9d1ae5ead265ae5ad252fa212f1e24b0">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871F7-01E5-4B07-9D6B-A0F540127C47}"/>
</file>

<file path=customXml/itemProps2.xml><?xml version="1.0" encoding="utf-8"?>
<ds:datastoreItem xmlns:ds="http://schemas.openxmlformats.org/officeDocument/2006/customXml" ds:itemID="{0AF77EA9-E800-4300-9E5F-960B6BB595A7}"/>
</file>

<file path=customXml/itemProps3.xml><?xml version="1.0" encoding="utf-8"?>
<ds:datastoreItem xmlns:ds="http://schemas.openxmlformats.org/officeDocument/2006/customXml" ds:itemID="{BD54568C-2BE7-44E1-A9F6-7F518F4371ED}"/>
</file>

<file path=customXml/itemProps4.xml><?xml version="1.0" encoding="utf-8"?>
<ds:datastoreItem xmlns:ds="http://schemas.openxmlformats.org/officeDocument/2006/customXml" ds:itemID="{6EDDC891-CA9D-44E8-A4AB-77EF53FCF525}"/>
</file>

<file path=docProps/app.xml><?xml version="1.0" encoding="utf-8"?>
<Properties xmlns="http://schemas.openxmlformats.org/officeDocument/2006/extended-properties" xmlns:vt="http://schemas.openxmlformats.org/officeDocument/2006/docPropsVTypes">
  <Template>4125121D.dotm</Template>
  <TotalTime>107</TotalTime>
  <Pages>3</Pages>
  <Words>894</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Education Queensland</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Pennisi</dc:creator>
  <cp:lastModifiedBy>SPANNER, Trish</cp:lastModifiedBy>
  <cp:revision>18</cp:revision>
  <cp:lastPrinted>2016-12-22T02:07:00Z</cp:lastPrinted>
  <dcterms:created xsi:type="dcterms:W3CDTF">2017-03-09T06:59:00Z</dcterms:created>
  <dcterms:modified xsi:type="dcterms:W3CDTF">2017-06-12T00:28:00Z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0x010100C4AA7C53C33E6D4DAD324E66B79E4959</vt:lpwstr>
  </property>
</Properties>
</file>